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BC892" w14:textId="6F54D58E" w:rsidR="001E4EF0" w:rsidRDefault="00B603FA">
      <w:pPr>
        <w:pStyle w:val="Proposal"/>
        <w:tabs>
          <w:tab w:val="clear" w:pos="1304"/>
        </w:tabs>
        <w:snapToGrid w:val="0"/>
        <w:ind w:left="1701" w:hanging="1701"/>
        <w:rPr>
          <w:rFonts w:ascii="Arial" w:hAnsi="Arial" w:cs="Arial"/>
          <w:b w:val="0"/>
          <w:bCs w:val="0"/>
          <w:sz w:val="22"/>
        </w:rPr>
      </w:pPr>
      <w:bookmarkStart w:id="0" w:name="OLE_LINK2"/>
      <w:bookmarkStart w:id="1" w:name="OLE_LINK1"/>
      <w:bookmarkStart w:id="2" w:name="_GoBack"/>
      <w:bookmarkEnd w:id="2"/>
      <w:r>
        <w:rPr>
          <w:rFonts w:ascii="Arial" w:hAnsi="Arial" w:cs="Arial"/>
          <w:sz w:val="22"/>
        </w:rPr>
        <w:t>3GPP TSG RAN WG1 #1</w:t>
      </w:r>
      <w:r>
        <w:rPr>
          <w:rFonts w:ascii="Arial" w:hAnsi="Arial" w:cs="Arial" w:hint="eastAsia"/>
          <w:sz w:val="22"/>
        </w:rPr>
        <w:t>13</w:t>
      </w:r>
      <w:r>
        <w:rPr>
          <w:rFonts w:ascii="Arial" w:hAnsi="Arial" w:cs="Arial"/>
          <w:sz w:val="22"/>
        </w:rPr>
        <w:tab/>
        <w:t xml:space="preserve"> </w:t>
      </w:r>
      <w:r>
        <w:rPr>
          <w:rFonts w:ascii="Arial" w:hAnsi="Arial" w:cs="Arial" w:hint="eastAsia"/>
          <w:sz w:val="22"/>
        </w:rPr>
        <w:t xml:space="preserve">  </w:t>
      </w:r>
      <w:r>
        <w:rPr>
          <w:rFonts w:ascii="Arial" w:hAnsi="Arial" w:cs="Arial"/>
          <w:sz w:val="22"/>
        </w:rPr>
        <w:t xml:space="preserve">                                        </w:t>
      </w:r>
      <w:r w:rsidRPr="007C1C81">
        <w:rPr>
          <w:rFonts w:ascii="Arial" w:hAnsi="Arial" w:cs="Arial"/>
          <w:sz w:val="22"/>
        </w:rPr>
        <w:t>R1-230</w:t>
      </w:r>
      <w:r w:rsidR="007C1C81" w:rsidRPr="007C1C81">
        <w:rPr>
          <w:rFonts w:ascii="Arial" w:hAnsi="Arial" w:cs="Arial"/>
          <w:sz w:val="22"/>
        </w:rPr>
        <w:t>5556</w:t>
      </w:r>
    </w:p>
    <w:p w14:paraId="78BA54B7" w14:textId="77777777" w:rsidR="001E4EF0" w:rsidRDefault="00B603FA">
      <w:pPr>
        <w:tabs>
          <w:tab w:val="center" w:pos="4536"/>
          <w:tab w:val="right" w:pos="9072"/>
        </w:tabs>
        <w:rPr>
          <w:rFonts w:ascii="Arial" w:eastAsia="宋体" w:hAnsi="Arial" w:cs="Arial"/>
          <w:b/>
          <w:bCs/>
          <w:kern w:val="2"/>
        </w:rPr>
      </w:pPr>
      <w:r>
        <w:rPr>
          <w:rFonts w:ascii="Arial" w:eastAsia="宋体" w:hAnsi="Arial" w:cs="Arial"/>
          <w:b/>
          <w:bCs/>
          <w:kern w:val="2"/>
        </w:rPr>
        <w:t>Incheon, Korea, May 22</w:t>
      </w:r>
      <w:r>
        <w:rPr>
          <w:rFonts w:ascii="Arial" w:eastAsia="宋体" w:hAnsi="Arial" w:cs="Arial"/>
          <w:b/>
          <w:bCs/>
          <w:kern w:val="2"/>
          <w:vertAlign w:val="superscript"/>
        </w:rPr>
        <w:t>nd</w:t>
      </w:r>
      <w:r>
        <w:rPr>
          <w:rFonts w:ascii="Arial" w:eastAsia="宋体" w:hAnsi="Arial" w:cs="Arial"/>
          <w:b/>
          <w:bCs/>
          <w:kern w:val="2"/>
        </w:rPr>
        <w:t xml:space="preserve"> - May 26</w:t>
      </w:r>
      <w:r>
        <w:rPr>
          <w:rFonts w:ascii="Arial" w:eastAsia="宋体" w:hAnsi="Arial" w:cs="Arial"/>
          <w:b/>
          <w:bCs/>
          <w:kern w:val="2"/>
          <w:vertAlign w:val="superscript"/>
        </w:rPr>
        <w:t>th</w:t>
      </w:r>
      <w:r>
        <w:rPr>
          <w:rFonts w:ascii="Arial" w:eastAsia="宋体" w:hAnsi="Arial" w:cs="Arial"/>
          <w:b/>
          <w:bCs/>
          <w:kern w:val="2"/>
        </w:rPr>
        <w:t>, 2023</w:t>
      </w:r>
    </w:p>
    <w:p w14:paraId="1F50DBDB" w14:textId="77777777" w:rsidR="001E4EF0" w:rsidRDefault="001E4EF0">
      <w:pPr>
        <w:pStyle w:val="3GPPHeader"/>
        <w:tabs>
          <w:tab w:val="clear" w:pos="1800"/>
          <w:tab w:val="left" w:pos="1580"/>
        </w:tabs>
        <w:snapToGrid w:val="0"/>
        <w:rPr>
          <w:rFonts w:cs="Arial"/>
          <w:sz w:val="22"/>
        </w:rPr>
      </w:pPr>
    </w:p>
    <w:p w14:paraId="7C0F1F45" w14:textId="77777777" w:rsidR="001E4EF0" w:rsidRDefault="00B603FA">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6B2F9B8A" w14:textId="77777777" w:rsidR="001E4EF0" w:rsidRDefault="00B603FA">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coverage enhancement for NTN</w:t>
      </w:r>
    </w:p>
    <w:p w14:paraId="1C6EF88B" w14:textId="77777777" w:rsidR="001E4EF0" w:rsidRDefault="00B603FA">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9.1</w:t>
      </w:r>
    </w:p>
    <w:p w14:paraId="6841A644" w14:textId="77777777" w:rsidR="001E4EF0" w:rsidRDefault="00B603FA">
      <w:pPr>
        <w:pBdr>
          <w:bottom w:val="single" w:sz="6" w:space="1" w:color="auto"/>
        </w:pBdr>
        <w:snapToGrid w:val="0"/>
        <w:jc w:val="both"/>
        <w:rPr>
          <w:rFonts w:ascii="Arial" w:hAnsi="Arial"/>
          <w:b/>
        </w:rPr>
      </w:pPr>
      <w:r>
        <w:rPr>
          <w:rFonts w:ascii="Arial" w:hAnsi="Arial"/>
          <w:b/>
        </w:rPr>
        <w:t>Document for: Discussion</w:t>
      </w:r>
      <w:bookmarkEnd w:id="0"/>
      <w:bookmarkEnd w:id="1"/>
    </w:p>
    <w:p w14:paraId="39945A44" w14:textId="77777777" w:rsidR="001E4EF0" w:rsidRDefault="00B603FA">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0B57BB32" w14:textId="77777777" w:rsidR="001E4EF0" w:rsidRDefault="00B603FA">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Pr>
          <w:rFonts w:ascii="Times New Roman" w:eastAsia="宋体" w:hAnsi="Times New Roman" w:cs="Times New Roman" w:hint="eastAsia"/>
          <w:sz w:val="20"/>
          <w:szCs w:val="20"/>
        </w:rPr>
        <w:t>1#112bis-e</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_Ref10563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UL coverage enhancements on PUSCH and PUCCH channels have been discussed to identify whether potential enhancements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 needed</w:t>
      </w:r>
      <w:r>
        <w:rPr>
          <w:rFonts w:ascii="Times New Roman" w:eastAsia="宋体" w:hAnsi="Times New Roman" w:cs="Times New Roman"/>
          <w:sz w:val="20"/>
          <w:szCs w:val="20"/>
        </w:rPr>
        <w:t xml:space="preserve"> with corresponding conclusion and agreements</w:t>
      </w:r>
      <w:r>
        <w:rPr>
          <w:rFonts w:ascii="Times New Roman" w:eastAsia="宋体" w:hAnsi="Times New Roman" w:cs="Times New Roman" w:hint="eastAsia"/>
          <w:sz w:val="20"/>
          <w:szCs w:val="20"/>
        </w:rPr>
        <w:t>.</w:t>
      </w:r>
    </w:p>
    <w:p w14:paraId="3FB5347F" w14:textId="77777777" w:rsidR="001E4EF0" w:rsidRDefault="00B603FA">
      <w:pPr>
        <w:numPr>
          <w:ilvl w:val="7"/>
          <w:numId w:val="0"/>
        </w:numPr>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 xml:space="preserve">the details of </w:t>
      </w:r>
      <w:r>
        <w:rPr>
          <w:rFonts w:ascii="Times New Roman" w:eastAsia="宋体" w:hAnsi="Times New Roman" w:cs="Times New Roman" w:hint="eastAsia"/>
          <w:sz w:val="20"/>
          <w:szCs w:val="20"/>
        </w:rPr>
        <w:t xml:space="preserve">potential enhancement solutions for PUSCH and PUCCH are both </w:t>
      </w:r>
      <w:r>
        <w:rPr>
          <w:rFonts w:ascii="Times New Roman" w:eastAsia="宋体" w:hAnsi="Times New Roman" w:cs="Times New Roman"/>
          <w:sz w:val="20"/>
          <w:szCs w:val="20"/>
        </w:rPr>
        <w:t>elaborated.</w:t>
      </w:r>
      <w:r>
        <w:rPr>
          <w:rFonts w:ascii="Times New Roman" w:eastAsia="宋体" w:hAnsi="Times New Roman" w:cs="Times New Roman" w:hint="eastAsia"/>
          <w:sz w:val="20"/>
          <w:szCs w:val="20"/>
        </w:rPr>
        <w:t xml:space="preserve"> </w:t>
      </w:r>
    </w:p>
    <w:p w14:paraId="25ABC2FB" w14:textId="77777777" w:rsidR="001E4EF0" w:rsidRDefault="00B603FA">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UL coverage evaluation </w:t>
      </w:r>
    </w:p>
    <w:p w14:paraId="4963DEAA" w14:textId="77777777" w:rsidR="001E4EF0" w:rsidRDefault="00B603FA">
      <w:pPr>
        <w:pStyle w:val="2"/>
        <w:keepNext w:val="0"/>
        <w:keepLines w:val="0"/>
        <w:widowControl w:val="0"/>
        <w:numPr>
          <w:ilvl w:val="1"/>
          <w:numId w:val="3"/>
        </w:numPr>
        <w:tabs>
          <w:tab w:val="left" w:pos="432"/>
        </w:tabs>
        <w:snapToGrid w:val="0"/>
        <w:spacing w:beforeLines="50" w:before="120" w:afterLines="50" w:after="120" w:line="240" w:lineRule="auto"/>
        <w:ind w:left="454" w:hanging="454"/>
        <w:rPr>
          <w:rFonts w:cs="Times New Roman"/>
          <w:bCs/>
          <w:sz w:val="24"/>
          <w:szCs w:val="24"/>
        </w:rPr>
      </w:pPr>
      <w:bookmarkStart w:id="4" w:name="_Ref8412"/>
      <w:r>
        <w:rPr>
          <w:rFonts w:cs="Times New Roman" w:hint="eastAsia"/>
          <w:bCs/>
          <w:sz w:val="24"/>
          <w:szCs w:val="24"/>
        </w:rPr>
        <w:t>PUSCH for VoIP</w:t>
      </w:r>
      <w:bookmarkEnd w:id="4"/>
    </w:p>
    <w:p w14:paraId="1762048A" w14:textId="77777777" w:rsidR="001E4EF0" w:rsidRDefault="00B603FA">
      <w:pPr>
        <w:numPr>
          <w:ilvl w:val="3"/>
          <w:numId w:val="0"/>
        </w:numPr>
        <w:spacing w:after="120" w:line="240" w:lineRule="auto"/>
        <w:jc w:val="both"/>
        <w:rPr>
          <w:rFonts w:ascii="Times New Roman" w:hAnsi="Times New Roman" w:cs="Times New Roman"/>
          <w:sz w:val="20"/>
          <w:szCs w:val="20"/>
        </w:rPr>
      </w:pPr>
      <w:r>
        <w:rPr>
          <w:rFonts w:ascii="Times New Roman" w:eastAsia="宋体" w:hAnsi="Times New Roman" w:cs="Times New Roman" w:hint="eastAsia"/>
          <w:sz w:val="20"/>
          <w:szCs w:val="20"/>
        </w:rPr>
        <w:t xml:space="preserve">As </w:t>
      </w:r>
      <w:r>
        <w:rPr>
          <w:rFonts w:ascii="Times New Roman" w:eastAsia="宋体" w:hAnsi="Times New Roman" w:cs="Times New Roman"/>
          <w:sz w:val="20"/>
          <w:szCs w:val="20"/>
        </w:rPr>
        <w:t xml:space="preserve">shown below, </w:t>
      </w:r>
      <w:r>
        <w:rPr>
          <w:rFonts w:ascii="Times New Roman" w:eastAsia="宋体" w:hAnsi="Times New Roman" w:cs="Times New Roman" w:hint="eastAsia"/>
          <w:sz w:val="20"/>
          <w:szCs w:val="20"/>
        </w:rPr>
        <w:t>the agreement on gNB-centric TDW determination was reached but details of gNB configuration/indication and UE report need to be further studied.</w:t>
      </w:r>
    </w:p>
    <w:tbl>
      <w:tblPr>
        <w:tblW w:w="0" w:type="auto"/>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7"/>
      </w:tblGrid>
      <w:tr w:rsidR="001E4EF0" w14:paraId="7F6DE420" w14:textId="77777777">
        <w:tc>
          <w:tcPr>
            <w:tcW w:w="9503" w:type="dxa"/>
          </w:tcPr>
          <w:p w14:paraId="2654E160" w14:textId="77777777" w:rsidR="001E4EF0" w:rsidRDefault="00B603FA">
            <w:pPr>
              <w:adjustRightInd w:val="0"/>
              <w:snapToGrid w:val="0"/>
              <w:spacing w:after="0" w:line="240" w:lineRule="auto"/>
              <w:rPr>
                <w:rFonts w:ascii="Times New Roman" w:hAnsi="Times New Roman" w:cs="Times New Roman"/>
                <w:b/>
                <w:sz w:val="20"/>
                <w:szCs w:val="20"/>
                <w:highlight w:val="green"/>
                <w:u w:val="single"/>
              </w:rPr>
            </w:pPr>
            <w:r>
              <w:rPr>
                <w:rFonts w:ascii="Times New Roman" w:hAnsi="Times New Roman" w:cs="Times New Roman"/>
                <w:b/>
                <w:sz w:val="20"/>
                <w:szCs w:val="20"/>
                <w:highlight w:val="green"/>
                <w:u w:val="single"/>
              </w:rPr>
              <w:t>Agreement</w:t>
            </w:r>
          </w:p>
          <w:p w14:paraId="2156DF0B" w14:textId="77777777" w:rsidR="001E4EF0" w:rsidRDefault="00B603FA">
            <w:p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For NTN-specific PUSCH DMRS bundling, support Alt 2 for TDW determination.</w:t>
            </w:r>
          </w:p>
          <w:p w14:paraId="1CB76132" w14:textId="77777777" w:rsidR="001E4EF0" w:rsidRDefault="00B603FA">
            <w:pPr>
              <w:numPr>
                <w:ilvl w:val="0"/>
                <w:numId w:val="4"/>
              </w:numPr>
              <w:snapToGrid w:val="0"/>
              <w:rPr>
                <w:rFonts w:ascii="Times New Roman" w:hAnsi="Times New Roman"/>
                <w:sz w:val="20"/>
              </w:rPr>
            </w:pPr>
            <w:r>
              <w:rPr>
                <w:rFonts w:ascii="Times New Roman" w:hAnsi="Times New Roman" w:cs="Times New Roman"/>
                <w:sz w:val="20"/>
                <w:szCs w:val="20"/>
              </w:rPr>
              <w:t>Alt 2: gNB-ce</w:t>
            </w:r>
            <w:r>
              <w:rPr>
                <w:rFonts w:ascii="Times New Roman" w:hAnsi="Times New Roman"/>
                <w:sz w:val="20"/>
              </w:rPr>
              <w:t>nt</w:t>
            </w:r>
            <w:r>
              <w:rPr>
                <w:rFonts w:ascii="Times New Roman" w:hAnsi="Times New Roman" w:cs="Times New Roman"/>
                <w:sz w:val="20"/>
                <w:szCs w:val="20"/>
              </w:rPr>
              <w:t>ric TDW determination</w:t>
            </w:r>
          </w:p>
          <w:p w14:paraId="4218777B" w14:textId="77777777" w:rsidR="001E4EF0" w:rsidRDefault="00B603FA">
            <w:pPr>
              <w:numPr>
                <w:ilvl w:val="1"/>
                <w:numId w:val="4"/>
              </w:numPr>
              <w:snapToGrid w:val="0"/>
              <w:rPr>
                <w:rFonts w:ascii="Times New Roman" w:hAnsi="Times New Roman" w:cs="Times New Roman"/>
                <w:sz w:val="20"/>
                <w:szCs w:val="20"/>
              </w:rPr>
            </w:pPr>
            <w:r>
              <w:rPr>
                <w:rFonts w:ascii="Times New Roman" w:hAnsi="Times New Roman"/>
                <w:sz w:val="20"/>
              </w:rPr>
              <w:t>N</w:t>
            </w:r>
            <w:r>
              <w:rPr>
                <w:rFonts w:ascii="Times New Roman" w:hAnsi="Times New Roman" w:cs="Times New Roman"/>
                <w:sz w:val="20"/>
                <w:szCs w:val="20"/>
              </w:rPr>
              <w:t>ominal TDW is determined based on gNB configuration.</w:t>
            </w:r>
          </w:p>
          <w:p w14:paraId="3FAC8BFD" w14:textId="77777777" w:rsidR="001E4EF0" w:rsidRDefault="00B603FA">
            <w:pPr>
              <w:numPr>
                <w:ilvl w:val="1"/>
                <w:numId w:val="4"/>
              </w:numPr>
              <w:snapToGrid w:val="0"/>
              <w:rPr>
                <w:rFonts w:ascii="Times New Roman" w:hAnsi="Times New Roman" w:cs="Times New Roman"/>
                <w:sz w:val="20"/>
                <w:szCs w:val="20"/>
              </w:rPr>
            </w:pPr>
            <w:r>
              <w:rPr>
                <w:rFonts w:ascii="Times New Roman" w:hAnsi="Times New Roman" w:cs="Times New Roman"/>
                <w:sz w:val="20"/>
                <w:szCs w:val="20"/>
              </w:rPr>
              <w:t>Actual TDW is determined based on gNB configuration/indication.</w:t>
            </w:r>
          </w:p>
          <w:p w14:paraId="59834EBD" w14:textId="77777777" w:rsidR="001E4EF0" w:rsidRDefault="00B603FA">
            <w:pPr>
              <w:numPr>
                <w:ilvl w:val="1"/>
                <w:numId w:val="4"/>
              </w:numPr>
              <w:snapToGrid w:val="0"/>
              <w:rPr>
                <w:rFonts w:ascii="Times New Roman" w:hAnsi="Times New Roman" w:cs="Times New Roman"/>
                <w:sz w:val="20"/>
                <w:szCs w:val="20"/>
              </w:rPr>
            </w:pPr>
            <w:r>
              <w:rPr>
                <w:rFonts w:ascii="Times New Roman" w:hAnsi="Times New Roman" w:cs="Times New Roman"/>
                <w:sz w:val="20"/>
                <w:szCs w:val="20"/>
              </w:rPr>
              <w:t>Note: Alt 2 does not imply that spec impact of actual TDW determination is assumed for NTN.</w:t>
            </w:r>
          </w:p>
          <w:p w14:paraId="1D707CBB" w14:textId="77777777" w:rsidR="001E4EF0" w:rsidRDefault="00B603FA">
            <w:pPr>
              <w:numPr>
                <w:ilvl w:val="1"/>
                <w:numId w:val="4"/>
              </w:numPr>
              <w:snapToGrid w:val="0"/>
              <w:rPr>
                <w:rFonts w:ascii="Times New Roman" w:hAnsi="Times New Roman" w:cs="Times New Roman"/>
                <w:sz w:val="20"/>
                <w:szCs w:val="20"/>
              </w:rPr>
            </w:pPr>
            <w:r>
              <w:rPr>
                <w:rFonts w:ascii="Times New Roman" w:hAnsi="Times New Roman" w:cs="Times New Roman"/>
                <w:sz w:val="20"/>
                <w:szCs w:val="20"/>
              </w:rPr>
              <w:t>FFS: details, including UE capability and assistance information reporting</w:t>
            </w:r>
          </w:p>
        </w:tc>
      </w:tr>
    </w:tbl>
    <w:p w14:paraId="7F804A27" w14:textId="5980A631" w:rsidR="003F79EF" w:rsidRDefault="00A83227">
      <w:pPr>
        <w:numPr>
          <w:ilvl w:val="3"/>
          <w:numId w:val="0"/>
        </w:num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existing</w:t>
      </w:r>
      <w:r w:rsidR="007C6AEE">
        <w:rPr>
          <w:rFonts w:ascii="Times New Roman" w:eastAsia="宋体" w:hAnsi="Times New Roman" w:cs="Times New Roman"/>
          <w:sz w:val="20"/>
          <w:szCs w:val="20"/>
        </w:rPr>
        <w:t xml:space="preserve"> DMRS bundling</w:t>
      </w:r>
      <w:r>
        <w:rPr>
          <w:rFonts w:ascii="Times New Roman" w:eastAsia="宋体" w:hAnsi="Times New Roman" w:cs="Times New Roman"/>
          <w:sz w:val="20"/>
          <w:szCs w:val="20"/>
        </w:rPr>
        <w:t xml:space="preserve"> TDW </w:t>
      </w:r>
      <w:r w:rsidR="007C6AEE">
        <w:rPr>
          <w:rFonts w:ascii="Times New Roman" w:eastAsia="宋体" w:hAnsi="Times New Roman" w:cs="Times New Roman"/>
          <w:sz w:val="20"/>
          <w:szCs w:val="20"/>
        </w:rPr>
        <w:t xml:space="preserve">determination for TN, the nominal TDW is configured by gNB, while the actual TDW is determined based on configured nominal TDW and specified events which may cause phase discontinuity and power inconsistency. In NTN, TA pre-compensation is applied for UL synchronization, which is different from TN. TA pre-compensation update can cause phase discontinuity similar as the event of receiving MAC CE TA command in legacy actual TDW determination mechanism for TN. Hence, TA pre-compensation should also be </w:t>
      </w:r>
      <w:r w:rsidR="00C47D77">
        <w:rPr>
          <w:rFonts w:ascii="Times New Roman" w:eastAsia="宋体" w:hAnsi="Times New Roman" w:cs="Times New Roman"/>
          <w:sz w:val="20"/>
          <w:szCs w:val="20"/>
        </w:rPr>
        <w:t>considered</w:t>
      </w:r>
      <w:r w:rsidR="007C6AEE">
        <w:rPr>
          <w:rFonts w:ascii="Times New Roman" w:eastAsia="宋体" w:hAnsi="Times New Roman" w:cs="Times New Roman"/>
          <w:sz w:val="20"/>
          <w:szCs w:val="20"/>
        </w:rPr>
        <w:t xml:space="preserve"> </w:t>
      </w:r>
      <w:r w:rsidR="00C47D77">
        <w:rPr>
          <w:rFonts w:ascii="Times New Roman" w:eastAsia="宋体" w:hAnsi="Times New Roman" w:cs="Times New Roman"/>
          <w:sz w:val="20"/>
          <w:szCs w:val="20"/>
        </w:rPr>
        <w:t xml:space="preserve">during the </w:t>
      </w:r>
      <w:r w:rsidR="007C6AEE">
        <w:rPr>
          <w:rFonts w:ascii="Times New Roman" w:eastAsia="宋体" w:hAnsi="Times New Roman" w:cs="Times New Roman"/>
          <w:sz w:val="20"/>
          <w:szCs w:val="20"/>
        </w:rPr>
        <w:t>actual TDW determination</w:t>
      </w:r>
      <w:r w:rsidR="00C47D77">
        <w:rPr>
          <w:rFonts w:ascii="Times New Roman" w:eastAsia="宋体" w:hAnsi="Times New Roman" w:cs="Times New Roman"/>
          <w:sz w:val="20"/>
          <w:szCs w:val="20"/>
        </w:rPr>
        <w:t>. Meanwhile, to ensure the up-synchronization for reception, the</w:t>
      </w:r>
      <w:r w:rsidR="003F79EF">
        <w:rPr>
          <w:rFonts w:ascii="Times New Roman" w:eastAsia="宋体" w:hAnsi="Times New Roman" w:cs="Times New Roman"/>
          <w:sz w:val="20"/>
          <w:szCs w:val="20"/>
        </w:rPr>
        <w:t xml:space="preserve"> </w:t>
      </w:r>
      <w:r w:rsidR="007C6AEE">
        <w:rPr>
          <w:rFonts w:ascii="Times New Roman" w:eastAsia="宋体" w:hAnsi="Times New Roman" w:cs="Times New Roman"/>
          <w:sz w:val="20"/>
          <w:szCs w:val="20"/>
        </w:rPr>
        <w:t xml:space="preserve">UE and gNB </w:t>
      </w:r>
      <w:r w:rsidR="003F79EF">
        <w:rPr>
          <w:rFonts w:ascii="Times New Roman" w:eastAsia="宋体" w:hAnsi="Times New Roman" w:cs="Times New Roman"/>
          <w:sz w:val="20"/>
          <w:szCs w:val="20"/>
        </w:rPr>
        <w:t xml:space="preserve">should achieve consensus </w:t>
      </w:r>
      <w:r w:rsidR="007C6AEE">
        <w:rPr>
          <w:rFonts w:ascii="Times New Roman" w:eastAsia="宋体" w:hAnsi="Times New Roman" w:cs="Times New Roman"/>
          <w:sz w:val="20"/>
          <w:szCs w:val="20"/>
        </w:rPr>
        <w:t xml:space="preserve">on </w:t>
      </w:r>
      <w:r w:rsidR="00C473B5">
        <w:rPr>
          <w:rFonts w:ascii="Times New Roman" w:eastAsia="宋体" w:hAnsi="Times New Roman" w:cs="Times New Roman"/>
          <w:sz w:val="20"/>
          <w:szCs w:val="20"/>
        </w:rPr>
        <w:t>the time instant</w:t>
      </w:r>
      <w:r w:rsidR="00731DE0">
        <w:rPr>
          <w:rFonts w:ascii="Times New Roman" w:eastAsia="宋体" w:hAnsi="Times New Roman" w:cs="Times New Roman"/>
          <w:sz w:val="20"/>
          <w:szCs w:val="20"/>
        </w:rPr>
        <w:t xml:space="preserve"> when</w:t>
      </w:r>
      <w:r w:rsidR="003416DF">
        <w:rPr>
          <w:rFonts w:ascii="Times New Roman" w:eastAsia="宋体" w:hAnsi="Times New Roman" w:cs="Times New Roman"/>
          <w:sz w:val="20"/>
          <w:szCs w:val="20"/>
        </w:rPr>
        <w:t xml:space="preserve"> the</w:t>
      </w:r>
      <w:r w:rsidR="001D21DF">
        <w:rPr>
          <w:rFonts w:ascii="Times New Roman" w:eastAsia="宋体" w:hAnsi="Times New Roman" w:cs="Times New Roman"/>
          <w:sz w:val="20"/>
          <w:szCs w:val="20"/>
        </w:rPr>
        <w:t xml:space="preserve"> </w:t>
      </w:r>
      <w:r w:rsidR="007C6AEE">
        <w:rPr>
          <w:rFonts w:ascii="Times New Roman" w:eastAsia="宋体" w:hAnsi="Times New Roman" w:cs="Times New Roman"/>
          <w:sz w:val="20"/>
          <w:szCs w:val="20"/>
        </w:rPr>
        <w:t>TA pre-compensation</w:t>
      </w:r>
      <w:r w:rsidR="003F79EF">
        <w:rPr>
          <w:rFonts w:ascii="Times New Roman" w:eastAsia="宋体" w:hAnsi="Times New Roman" w:cs="Times New Roman"/>
          <w:sz w:val="20"/>
          <w:szCs w:val="20"/>
        </w:rPr>
        <w:t xml:space="preserve"> is</w:t>
      </w:r>
      <w:r w:rsidR="007C6AEE">
        <w:rPr>
          <w:rFonts w:ascii="Times New Roman" w:eastAsia="宋体" w:hAnsi="Times New Roman" w:cs="Times New Roman"/>
          <w:sz w:val="20"/>
          <w:szCs w:val="20"/>
        </w:rPr>
        <w:t xml:space="preserve"> update</w:t>
      </w:r>
      <w:r w:rsidR="003F79EF">
        <w:rPr>
          <w:rFonts w:ascii="Times New Roman" w:eastAsia="宋体" w:hAnsi="Times New Roman" w:cs="Times New Roman"/>
          <w:sz w:val="20"/>
          <w:szCs w:val="20"/>
        </w:rPr>
        <w:t xml:space="preserve">d to obtain same actual TDW. </w:t>
      </w:r>
    </w:p>
    <w:p w14:paraId="19309441" w14:textId="285381E7" w:rsidR="00A83227" w:rsidRDefault="003F79EF">
      <w:pPr>
        <w:numPr>
          <w:ilvl w:val="3"/>
          <w:numId w:val="0"/>
        </w:num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Since gNB-centric TDW determination mechanism is agreed as shown above, where actual TDW is determined based on gNB configuration/indication, gNB should be responsible to determine when the TA pre-compensation update is performed. In Rel-17 IoT-NTN, mechanism of segment pre-compensation has already been specified, where gNB will indicate segment length to UE and UE will not update the TA pre-compensation value within a pre-compensation segment. This mechanism can be reused in NR-NTN. That is, gNB will indicate segment length for pre-compensation to UE. UE and gNB can then achieve consensus on when</w:t>
      </w:r>
      <w:r w:rsidR="007642B5">
        <w:rPr>
          <w:rFonts w:ascii="Times New Roman" w:eastAsia="宋体" w:hAnsi="Times New Roman" w:cs="Times New Roman"/>
          <w:sz w:val="20"/>
          <w:szCs w:val="20"/>
        </w:rPr>
        <w:t xml:space="preserve"> TA pre-compensation will update and determine the actual TDW accordingly. With such mechanism, actual TDW will be determined based on gNB indication of segment length in addition to </w:t>
      </w:r>
      <w:r w:rsidR="009A1CF9">
        <w:rPr>
          <w:rFonts w:ascii="Times New Roman" w:eastAsia="宋体" w:hAnsi="Times New Roman" w:cs="Times New Roman"/>
          <w:sz w:val="20"/>
          <w:szCs w:val="20"/>
        </w:rPr>
        <w:t xml:space="preserve">the </w:t>
      </w:r>
      <w:r w:rsidR="007642B5">
        <w:rPr>
          <w:rFonts w:ascii="Times New Roman" w:eastAsia="宋体" w:hAnsi="Times New Roman" w:cs="Times New Roman"/>
          <w:sz w:val="20"/>
          <w:szCs w:val="20"/>
        </w:rPr>
        <w:t>configured nominal TDW.</w:t>
      </w:r>
    </w:p>
    <w:p w14:paraId="56121354" w14:textId="697732E7" w:rsidR="007642B5" w:rsidRDefault="007642B5">
      <w:pPr>
        <w:numPr>
          <w:ilvl w:val="3"/>
          <w:numId w:val="0"/>
        </w:num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M</w:t>
      </w:r>
      <w:r>
        <w:rPr>
          <w:rFonts w:ascii="Times New Roman" w:eastAsia="宋体" w:hAnsi="Times New Roman" w:cs="Times New Roman"/>
          <w:sz w:val="20"/>
          <w:szCs w:val="20"/>
        </w:rPr>
        <w:t xml:space="preserve">oreover, in RAN1#112be, following working assumption is made for UE capability. </w:t>
      </w:r>
    </w:p>
    <w:tbl>
      <w:tblPr>
        <w:tblW w:w="0" w:type="auto"/>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7"/>
      </w:tblGrid>
      <w:tr w:rsidR="007642B5" w14:paraId="2B65F0FE" w14:textId="77777777" w:rsidTr="00962EE5">
        <w:tc>
          <w:tcPr>
            <w:tcW w:w="9503" w:type="dxa"/>
          </w:tcPr>
          <w:p w14:paraId="0F1C1E86" w14:textId="77777777" w:rsidR="007642B5" w:rsidRPr="007642B5" w:rsidRDefault="007642B5" w:rsidP="007642B5">
            <w:pPr>
              <w:tabs>
                <w:tab w:val="left" w:pos="1064"/>
              </w:tabs>
              <w:rPr>
                <w:rFonts w:ascii="Times New Roman" w:eastAsia="Batang" w:hAnsi="Times New Roman" w:cs="Times New Roman"/>
                <w:b/>
                <w:sz w:val="20"/>
                <w:szCs w:val="24"/>
              </w:rPr>
            </w:pPr>
            <w:r w:rsidRPr="007642B5">
              <w:rPr>
                <w:rFonts w:ascii="Times New Roman" w:eastAsia="Batang" w:hAnsi="Times New Roman" w:cs="Times New Roman"/>
                <w:b/>
                <w:sz w:val="20"/>
                <w:szCs w:val="24"/>
                <w:highlight w:val="darkYellow"/>
              </w:rPr>
              <w:t>Working assumption</w:t>
            </w:r>
          </w:p>
          <w:p w14:paraId="44CBA22B" w14:textId="77777777" w:rsidR="007642B5" w:rsidRPr="007642B5" w:rsidRDefault="007642B5" w:rsidP="007642B5">
            <w:pPr>
              <w:tabs>
                <w:tab w:val="left" w:pos="1064"/>
              </w:tabs>
              <w:rPr>
                <w:rFonts w:ascii="Times New Roman" w:eastAsia="Batang" w:hAnsi="Times New Roman" w:cs="Times New Roman"/>
                <w:sz w:val="20"/>
                <w:szCs w:val="24"/>
              </w:rPr>
            </w:pPr>
            <w:r w:rsidRPr="007642B5">
              <w:rPr>
                <w:rFonts w:ascii="Times New Roman" w:eastAsia="Batang" w:hAnsi="Times New Roman" w:cs="Times New Roman"/>
                <w:sz w:val="20"/>
                <w:szCs w:val="18"/>
                <w:lang w:eastAsia="en-US"/>
              </w:rPr>
              <w:lastRenderedPageBreak/>
              <w:t>For NTN-specific PUSCH DMRS bundling, to satisfy the phase difference limit without causing phase discontinuity, it is assumed that pre-compensation to keep phase rotation due to timing drift within the phase difference limit can be performed at UE side.</w:t>
            </w:r>
          </w:p>
          <w:p w14:paraId="53191AE5" w14:textId="77777777" w:rsidR="007642B5" w:rsidRPr="007642B5" w:rsidRDefault="007642B5" w:rsidP="007642B5">
            <w:pPr>
              <w:numPr>
                <w:ilvl w:val="0"/>
                <w:numId w:val="4"/>
              </w:numPr>
              <w:snapToGrid w:val="0"/>
              <w:spacing w:after="0" w:line="240" w:lineRule="auto"/>
              <w:rPr>
                <w:rFonts w:ascii="Times New Roman" w:eastAsia="Batang" w:hAnsi="Times New Roman" w:cs="Times New Roman"/>
                <w:sz w:val="20"/>
                <w:szCs w:val="18"/>
                <w:lang w:eastAsia="en-US"/>
              </w:rPr>
            </w:pPr>
            <w:r w:rsidRPr="007642B5">
              <w:rPr>
                <w:rFonts w:ascii="Times New Roman" w:eastAsia="Batang" w:hAnsi="Times New Roman" w:cs="Times New Roman"/>
                <w:sz w:val="20"/>
                <w:szCs w:val="18"/>
                <w:lang w:eastAsia="en-US"/>
              </w:rPr>
              <w:t xml:space="preserve">UE shall not perform TA pre-compensation update </w:t>
            </w:r>
            <w:r w:rsidRPr="007642B5">
              <w:rPr>
                <w:rFonts w:ascii="Times New Roman" w:eastAsia="宋体" w:hAnsi="Times New Roman" w:cs="Times New Roman"/>
                <w:sz w:val="20"/>
                <w:szCs w:val="24"/>
                <w:lang w:eastAsia="en-US"/>
              </w:rPr>
              <w:t>within an actual TDW</w:t>
            </w:r>
            <w:r w:rsidRPr="007642B5">
              <w:rPr>
                <w:rFonts w:ascii="Times New Roman" w:eastAsia="Batang" w:hAnsi="Times New Roman" w:cs="Times New Roman"/>
                <w:sz w:val="20"/>
                <w:szCs w:val="18"/>
                <w:lang w:eastAsia="en-US"/>
              </w:rPr>
              <w:t xml:space="preserve"> if it causes phase discontinuity that may violate the p</w:t>
            </w:r>
            <w:r w:rsidRPr="007642B5">
              <w:rPr>
                <w:rFonts w:ascii="Times New Roman" w:eastAsia="宋体" w:hAnsi="Times New Roman" w:cs="Times New Roman"/>
                <w:sz w:val="20"/>
                <w:szCs w:val="24"/>
                <w:lang w:eastAsia="en-US"/>
              </w:rPr>
              <w:t>hase difference limit.</w:t>
            </w:r>
          </w:p>
          <w:p w14:paraId="0529A3C7" w14:textId="77777777" w:rsidR="007642B5" w:rsidRPr="007642B5" w:rsidRDefault="007642B5" w:rsidP="007642B5">
            <w:pPr>
              <w:numPr>
                <w:ilvl w:val="1"/>
                <w:numId w:val="4"/>
              </w:numPr>
              <w:snapToGrid w:val="0"/>
              <w:spacing w:after="0" w:line="240" w:lineRule="auto"/>
              <w:rPr>
                <w:rFonts w:ascii="Times New Roman" w:eastAsia="Batang" w:hAnsi="Times New Roman" w:cs="Times New Roman"/>
                <w:sz w:val="20"/>
                <w:szCs w:val="18"/>
                <w:lang w:eastAsia="en-US"/>
              </w:rPr>
            </w:pPr>
            <w:r w:rsidRPr="007642B5">
              <w:rPr>
                <w:rFonts w:ascii="Times New Roman" w:eastAsia="Batang" w:hAnsi="Times New Roman" w:cs="Times New Roman"/>
                <w:sz w:val="20"/>
                <w:szCs w:val="18"/>
                <w:lang w:eastAsia="en-US"/>
              </w:rPr>
              <w:t>FFS: how to determine the actual TDW</w:t>
            </w:r>
          </w:p>
          <w:p w14:paraId="297CC1F1" w14:textId="77777777" w:rsidR="007642B5" w:rsidRPr="007642B5" w:rsidRDefault="007642B5" w:rsidP="007642B5">
            <w:pPr>
              <w:numPr>
                <w:ilvl w:val="0"/>
                <w:numId w:val="4"/>
              </w:numPr>
              <w:snapToGrid w:val="0"/>
              <w:spacing w:after="0" w:line="240" w:lineRule="auto"/>
              <w:rPr>
                <w:rFonts w:ascii="Times New Roman" w:eastAsia="Batang" w:hAnsi="Times New Roman" w:cs="Times New Roman"/>
                <w:sz w:val="20"/>
                <w:szCs w:val="18"/>
                <w:lang w:eastAsia="en-US"/>
              </w:rPr>
            </w:pPr>
            <w:r w:rsidRPr="007642B5">
              <w:rPr>
                <w:rFonts w:ascii="Times New Roman" w:eastAsia="Batang" w:hAnsi="Times New Roman" w:cs="Times New Roman"/>
                <w:sz w:val="20"/>
                <w:szCs w:val="18"/>
                <w:lang w:eastAsia="en-US"/>
              </w:rPr>
              <w:t>FFS: specification impact</w:t>
            </w:r>
          </w:p>
          <w:p w14:paraId="05BFD548" w14:textId="6A28F021" w:rsidR="007642B5" w:rsidRPr="007642B5" w:rsidRDefault="007642B5" w:rsidP="007642B5">
            <w:pPr>
              <w:numPr>
                <w:ilvl w:val="0"/>
                <w:numId w:val="4"/>
              </w:numPr>
              <w:snapToGrid w:val="0"/>
              <w:spacing w:after="0" w:line="240" w:lineRule="auto"/>
              <w:rPr>
                <w:rFonts w:eastAsia="Batang"/>
                <w:sz w:val="20"/>
                <w:szCs w:val="18"/>
                <w:lang w:eastAsia="en-US"/>
              </w:rPr>
            </w:pPr>
            <w:r w:rsidRPr="007642B5">
              <w:rPr>
                <w:rFonts w:ascii="Times New Roman" w:eastAsia="Batang" w:hAnsi="Times New Roman" w:cs="Times New Roman"/>
                <w:sz w:val="20"/>
                <w:szCs w:val="18"/>
                <w:lang w:eastAsia="en-US"/>
              </w:rPr>
              <w:t>Send an LS to RAN4</w:t>
            </w:r>
          </w:p>
        </w:tc>
      </w:tr>
    </w:tbl>
    <w:p w14:paraId="60372763" w14:textId="6FBB5CFE" w:rsidR="007642B5" w:rsidRDefault="007642B5">
      <w:pPr>
        <w:numPr>
          <w:ilvl w:val="3"/>
          <w:numId w:val="0"/>
        </w:num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From the working assumption, it can be observed that UE may be able to perform pre-compensation, e.g., phase pre-compensation, to keep phase rotation due to timing drift within the phase different limit. Since the phase discontinuity caused by TA pre-compensation update comprises phase rotation due to timing drift, </w:t>
      </w:r>
      <w:r w:rsidR="00E20E4F">
        <w:rPr>
          <w:rFonts w:ascii="Times New Roman" w:eastAsia="宋体" w:hAnsi="Times New Roman" w:cs="Times New Roman"/>
          <w:sz w:val="20"/>
          <w:szCs w:val="20"/>
        </w:rPr>
        <w:t>UE with</w:t>
      </w:r>
      <w:r>
        <w:rPr>
          <w:rFonts w:ascii="Times New Roman" w:eastAsia="宋体" w:hAnsi="Times New Roman" w:cs="Times New Roman"/>
          <w:sz w:val="20"/>
          <w:szCs w:val="20"/>
        </w:rPr>
        <w:t xml:space="preserve"> advanced </w:t>
      </w:r>
      <w:r w:rsidR="00E20E4F">
        <w:rPr>
          <w:rFonts w:ascii="Times New Roman" w:eastAsia="宋体" w:hAnsi="Times New Roman" w:cs="Times New Roman"/>
          <w:sz w:val="20"/>
          <w:szCs w:val="20"/>
        </w:rPr>
        <w:t>capability</w:t>
      </w:r>
      <w:r>
        <w:rPr>
          <w:rFonts w:ascii="Times New Roman" w:eastAsia="宋体" w:hAnsi="Times New Roman" w:cs="Times New Roman"/>
          <w:sz w:val="20"/>
          <w:szCs w:val="20"/>
        </w:rPr>
        <w:t xml:space="preserve"> may able to keep phase discontinuity</w:t>
      </w:r>
      <w:r w:rsidR="00E20E4F">
        <w:rPr>
          <w:rFonts w:ascii="Times New Roman" w:eastAsia="宋体" w:hAnsi="Times New Roman" w:cs="Times New Roman"/>
          <w:sz w:val="20"/>
          <w:szCs w:val="20"/>
        </w:rPr>
        <w:t xml:space="preserve"> caused by TA pre-compensation update between segments within phase different limit. </w:t>
      </w:r>
      <w:r w:rsidR="00650655">
        <w:rPr>
          <w:rFonts w:ascii="Times New Roman" w:eastAsia="宋体" w:hAnsi="Times New Roman" w:cs="Times New Roman"/>
          <w:sz w:val="20"/>
          <w:szCs w:val="20"/>
        </w:rPr>
        <w:t>In this case</w:t>
      </w:r>
      <w:r w:rsidR="00E20E4F">
        <w:rPr>
          <w:rFonts w:ascii="Times New Roman" w:eastAsia="宋体" w:hAnsi="Times New Roman" w:cs="Times New Roman"/>
          <w:sz w:val="20"/>
          <w:szCs w:val="20"/>
        </w:rPr>
        <w:t xml:space="preserve">, </w:t>
      </w:r>
      <w:r w:rsidR="00EF39F3">
        <w:rPr>
          <w:rFonts w:ascii="Times New Roman" w:eastAsia="宋体" w:hAnsi="Times New Roman" w:cs="Times New Roman"/>
          <w:sz w:val="20"/>
          <w:szCs w:val="20"/>
        </w:rPr>
        <w:t xml:space="preserve">maintaining </w:t>
      </w:r>
      <w:r w:rsidR="00E20E4F">
        <w:rPr>
          <w:rFonts w:ascii="Times New Roman" w:eastAsia="宋体" w:hAnsi="Times New Roman" w:cs="Times New Roman"/>
          <w:sz w:val="20"/>
          <w:szCs w:val="20"/>
        </w:rPr>
        <w:t>DMRS bundling across segments</w:t>
      </w:r>
      <w:r w:rsidR="00650655">
        <w:rPr>
          <w:rFonts w:ascii="Times New Roman" w:eastAsia="宋体" w:hAnsi="Times New Roman" w:cs="Times New Roman"/>
          <w:sz w:val="20"/>
          <w:szCs w:val="20"/>
        </w:rPr>
        <w:t>, i.e., determine an actual TDW across segments,</w:t>
      </w:r>
      <w:r w:rsidR="00E20E4F">
        <w:rPr>
          <w:rFonts w:ascii="Times New Roman" w:eastAsia="宋体" w:hAnsi="Times New Roman" w:cs="Times New Roman"/>
          <w:sz w:val="20"/>
          <w:szCs w:val="20"/>
        </w:rPr>
        <w:t xml:space="preserve"> is possible.</w:t>
      </w:r>
      <w:r w:rsidR="00650655">
        <w:rPr>
          <w:rFonts w:ascii="Times New Roman" w:eastAsia="宋体" w:hAnsi="Times New Roman" w:cs="Times New Roman"/>
          <w:sz w:val="20"/>
          <w:szCs w:val="20"/>
        </w:rPr>
        <w:t xml:space="preserve"> However, as the subbullet illustrates, UE shall </w:t>
      </w:r>
      <w:r w:rsidR="00650655" w:rsidRPr="007642B5">
        <w:rPr>
          <w:rFonts w:ascii="Times New Roman" w:eastAsia="Batang" w:hAnsi="Times New Roman" w:cs="Times New Roman"/>
          <w:sz w:val="20"/>
          <w:szCs w:val="18"/>
          <w:lang w:eastAsia="en-US"/>
        </w:rPr>
        <w:t xml:space="preserve">not perform TA pre-compensation update </w:t>
      </w:r>
      <w:r w:rsidR="00650655" w:rsidRPr="007642B5">
        <w:rPr>
          <w:rFonts w:ascii="Times New Roman" w:eastAsia="宋体" w:hAnsi="Times New Roman" w:cs="Times New Roman"/>
          <w:sz w:val="20"/>
          <w:szCs w:val="24"/>
          <w:lang w:eastAsia="en-US"/>
        </w:rPr>
        <w:t>within an actual TDW</w:t>
      </w:r>
      <w:r w:rsidR="00650655" w:rsidRPr="007642B5">
        <w:rPr>
          <w:rFonts w:ascii="Times New Roman" w:eastAsia="Batang" w:hAnsi="Times New Roman" w:cs="Times New Roman"/>
          <w:sz w:val="20"/>
          <w:szCs w:val="18"/>
          <w:lang w:eastAsia="en-US"/>
        </w:rPr>
        <w:t xml:space="preserve"> if it causes phase discontinuity that may violate the p</w:t>
      </w:r>
      <w:r w:rsidR="00650655" w:rsidRPr="007642B5">
        <w:rPr>
          <w:rFonts w:ascii="Times New Roman" w:eastAsia="宋体" w:hAnsi="Times New Roman" w:cs="Times New Roman"/>
          <w:sz w:val="20"/>
          <w:szCs w:val="24"/>
          <w:lang w:eastAsia="en-US"/>
        </w:rPr>
        <w:t>hase difference limit</w:t>
      </w:r>
      <w:r w:rsidR="00650655">
        <w:rPr>
          <w:rFonts w:ascii="Times New Roman" w:eastAsia="宋体" w:hAnsi="Times New Roman" w:cs="Times New Roman"/>
          <w:sz w:val="20"/>
          <w:szCs w:val="24"/>
          <w:lang w:eastAsia="en-US"/>
        </w:rPr>
        <w:t xml:space="preserve">, which means that there also exists UEs without the capability to </w:t>
      </w:r>
      <w:r w:rsidR="00EF39F3">
        <w:rPr>
          <w:rFonts w:ascii="Times New Roman" w:eastAsia="宋体" w:hAnsi="Times New Roman" w:cs="Times New Roman"/>
          <w:sz w:val="20"/>
          <w:szCs w:val="20"/>
        </w:rPr>
        <w:t>maintain DMRS bundling</w:t>
      </w:r>
      <w:r w:rsidR="00650655">
        <w:rPr>
          <w:rFonts w:ascii="Times New Roman" w:eastAsia="宋体" w:hAnsi="Times New Roman" w:cs="Times New Roman"/>
          <w:sz w:val="20"/>
          <w:szCs w:val="20"/>
        </w:rPr>
        <w:t xml:space="preserve"> across </w:t>
      </w:r>
      <w:r w:rsidR="00EF39F3">
        <w:rPr>
          <w:rFonts w:ascii="Times New Roman" w:eastAsia="宋体" w:hAnsi="Times New Roman" w:cs="Times New Roman"/>
          <w:sz w:val="20"/>
          <w:szCs w:val="20"/>
        </w:rPr>
        <w:t xml:space="preserve">pre-compensation </w:t>
      </w:r>
      <w:r w:rsidR="00650655">
        <w:rPr>
          <w:rFonts w:ascii="Times New Roman" w:eastAsia="宋体" w:hAnsi="Times New Roman" w:cs="Times New Roman"/>
          <w:sz w:val="20"/>
          <w:szCs w:val="20"/>
        </w:rPr>
        <w:t xml:space="preserve">segments. </w:t>
      </w:r>
      <w:r w:rsidR="00EF39F3">
        <w:rPr>
          <w:rFonts w:ascii="Times New Roman" w:eastAsia="宋体" w:hAnsi="Times New Roman" w:cs="Times New Roman"/>
          <w:sz w:val="20"/>
          <w:szCs w:val="20"/>
        </w:rPr>
        <w:t xml:space="preserve">Obviously, for UE without capability to maintain DMRS bundling across segments, the actual TDW is restricted by segment length. </w:t>
      </w:r>
      <w:r w:rsidR="00EF39F3">
        <w:rPr>
          <w:rFonts w:ascii="Times New Roman" w:eastAsia="宋体" w:hAnsi="Times New Roman" w:cs="Times New Roman" w:hint="eastAsia"/>
          <w:sz w:val="20"/>
          <w:szCs w:val="20"/>
        </w:rPr>
        <w:t>While</w:t>
      </w:r>
      <w:r w:rsidR="00EF39F3">
        <w:rPr>
          <w:rFonts w:ascii="Times New Roman" w:eastAsia="宋体" w:hAnsi="Times New Roman" w:cs="Times New Roman"/>
          <w:sz w:val="20"/>
          <w:szCs w:val="20"/>
        </w:rPr>
        <w:t xml:space="preserve"> for UE with the capability, segment length </w:t>
      </w:r>
      <w:r w:rsidR="009A1CF9">
        <w:rPr>
          <w:rFonts w:ascii="Times New Roman" w:eastAsia="宋体" w:hAnsi="Times New Roman" w:cs="Times New Roman"/>
          <w:sz w:val="20"/>
          <w:szCs w:val="20"/>
        </w:rPr>
        <w:t>may</w:t>
      </w:r>
      <w:r w:rsidR="00EF39F3">
        <w:rPr>
          <w:rFonts w:ascii="Times New Roman" w:eastAsia="宋体" w:hAnsi="Times New Roman" w:cs="Times New Roman"/>
          <w:sz w:val="20"/>
          <w:szCs w:val="20"/>
        </w:rPr>
        <w:t xml:space="preserve"> not </w:t>
      </w:r>
      <w:r w:rsidR="009A1CF9">
        <w:rPr>
          <w:rFonts w:ascii="Times New Roman" w:eastAsia="宋体" w:hAnsi="Times New Roman" w:cs="Times New Roman"/>
          <w:sz w:val="20"/>
          <w:szCs w:val="20"/>
        </w:rPr>
        <w:t xml:space="preserve">be </w:t>
      </w:r>
      <w:r w:rsidR="00EF39F3">
        <w:rPr>
          <w:rFonts w:ascii="Times New Roman" w:eastAsia="宋体" w:hAnsi="Times New Roman" w:cs="Times New Roman"/>
          <w:sz w:val="20"/>
          <w:szCs w:val="20"/>
        </w:rPr>
        <w:t xml:space="preserve">a restriction. </w:t>
      </w:r>
      <w:r w:rsidR="00B85ADA">
        <w:rPr>
          <w:rFonts w:ascii="Times New Roman" w:eastAsia="宋体" w:hAnsi="Times New Roman" w:cs="Times New Roman"/>
          <w:sz w:val="20"/>
          <w:szCs w:val="20"/>
        </w:rPr>
        <w:t>Since UEs with different capabilities will have different mechanisms of actual TDW determination, UE should report the capability on whether to support</w:t>
      </w:r>
      <w:r w:rsidR="009A1CF9">
        <w:rPr>
          <w:rFonts w:ascii="Times New Roman" w:eastAsia="宋体" w:hAnsi="Times New Roman" w:cs="Times New Roman"/>
          <w:sz w:val="20"/>
          <w:szCs w:val="20"/>
        </w:rPr>
        <w:t xml:space="preserve"> actual TDW across pre-compensation segments to achieve consensus with gNB.</w:t>
      </w:r>
    </w:p>
    <w:p w14:paraId="66A28127" w14:textId="0E7FDBA8" w:rsidR="007642B5" w:rsidRDefault="009A1CF9">
      <w:pPr>
        <w:numPr>
          <w:ilvl w:val="3"/>
          <w:numId w:val="0"/>
        </w:num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B</w:t>
      </w:r>
      <w:r>
        <w:rPr>
          <w:rFonts w:ascii="Times New Roman" w:eastAsia="宋体" w:hAnsi="Times New Roman" w:cs="Times New Roman"/>
          <w:sz w:val="20"/>
          <w:szCs w:val="20"/>
        </w:rPr>
        <w:t xml:space="preserve">ased on above consideration, for gNB-centric TDW determination, UE should report capability on whether to support actual TDW across pre-compensation segments. gNB should configure nominal TDW size and indicate segment length of pre-compensation. The actual TDW will be determined based on configured nominal TDW and indicated segment length from gNB. And for UE without capability to support </w:t>
      </w:r>
      <w:r w:rsidR="00D4235C">
        <w:rPr>
          <w:rFonts w:ascii="Times New Roman" w:eastAsia="宋体" w:hAnsi="Times New Roman" w:cs="Times New Roman"/>
          <w:sz w:val="20"/>
          <w:szCs w:val="20"/>
        </w:rPr>
        <w:t>actual TDW</w:t>
      </w:r>
      <w:r>
        <w:rPr>
          <w:rFonts w:ascii="Times New Roman" w:eastAsia="宋体" w:hAnsi="Times New Roman" w:cs="Times New Roman"/>
          <w:sz w:val="20"/>
          <w:szCs w:val="20"/>
        </w:rPr>
        <w:t xml:space="preserve"> to be longer than segment length,</w:t>
      </w:r>
      <w:r w:rsidR="00D4235C">
        <w:rPr>
          <w:rFonts w:ascii="Times New Roman" w:eastAsia="宋体" w:hAnsi="Times New Roman" w:cs="Times New Roman"/>
          <w:sz w:val="20"/>
          <w:szCs w:val="20"/>
        </w:rPr>
        <w:t xml:space="preserve"> actual TDW is determined based on </w:t>
      </w:r>
      <w:r w:rsidR="002F1F87">
        <w:rPr>
          <w:rFonts w:ascii="Times New Roman" w:eastAsia="宋体" w:hAnsi="Times New Roman" w:cs="Times New Roman"/>
          <w:sz w:val="20"/>
          <w:szCs w:val="20"/>
        </w:rPr>
        <w:t xml:space="preserve">pre-compensation </w:t>
      </w:r>
      <w:r w:rsidR="00D4235C">
        <w:rPr>
          <w:rFonts w:ascii="Times New Roman" w:eastAsia="宋体" w:hAnsi="Times New Roman" w:cs="Times New Roman"/>
          <w:sz w:val="20"/>
          <w:szCs w:val="20"/>
        </w:rPr>
        <w:t>segment, e.g., by introducing a new event of pre-compensation update. For UE with capability to support actual TDW to be longer than segment length, actual TDW may be determined without consideration of segment length.</w:t>
      </w:r>
    </w:p>
    <w:p w14:paraId="6005930D" w14:textId="0C91483A" w:rsidR="00D4235C" w:rsidRDefault="00D4235C">
      <w:pPr>
        <w:numPr>
          <w:ilvl w:val="3"/>
          <w:numId w:val="0"/>
        </w:numPr>
        <w:adjustRightInd w:val="0"/>
        <w:snapToGrid w:val="0"/>
        <w:spacing w:beforeLines="50" w:before="120" w:after="120" w:line="240" w:lineRule="auto"/>
        <w:jc w:val="both"/>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UE</w:t>
      </w:r>
      <w:r>
        <w:rPr>
          <w:rFonts w:ascii="Times New Roman" w:hAnsi="Times New Roman" w:cs="Times New Roman"/>
          <w:bCs/>
          <w:i/>
          <w:iCs/>
          <w:sz w:val="20"/>
          <w:szCs w:val="20"/>
        </w:rPr>
        <w:t xml:space="preserve"> capability </w:t>
      </w:r>
      <w:r w:rsidRPr="00D4235C">
        <w:rPr>
          <w:rFonts w:ascii="Times New Roman" w:hAnsi="Times New Roman" w:cs="Times New Roman"/>
          <w:bCs/>
          <w:i/>
          <w:iCs/>
          <w:sz w:val="20"/>
          <w:szCs w:val="20"/>
        </w:rPr>
        <w:t>on whether to support actual TDW across pre-compensation segments</w:t>
      </w:r>
      <w:r>
        <w:rPr>
          <w:rFonts w:ascii="Times New Roman" w:hAnsi="Times New Roman" w:cs="Times New Roman" w:hint="eastAsia"/>
          <w:bCs/>
          <w:i/>
          <w:iCs/>
          <w:sz w:val="20"/>
          <w:szCs w:val="20"/>
        </w:rPr>
        <w:t xml:space="preserve"> should</w:t>
      </w:r>
      <w:r>
        <w:rPr>
          <w:rFonts w:ascii="Times New Roman" w:hAnsi="Times New Roman" w:cs="Times New Roman"/>
          <w:bCs/>
          <w:i/>
          <w:iCs/>
          <w:sz w:val="20"/>
          <w:szCs w:val="20"/>
        </w:rPr>
        <w:t xml:space="preserve"> be </w:t>
      </w:r>
      <w:r>
        <w:rPr>
          <w:rFonts w:ascii="Times New Roman" w:hAnsi="Times New Roman" w:cs="Times New Roman" w:hint="eastAsia"/>
          <w:bCs/>
          <w:i/>
          <w:iCs/>
          <w:sz w:val="20"/>
          <w:szCs w:val="20"/>
        </w:rPr>
        <w:t>reported</w:t>
      </w:r>
      <w:r>
        <w:rPr>
          <w:rFonts w:ascii="Times New Roman" w:hAnsi="Times New Roman" w:cs="Times New Roman"/>
          <w:bCs/>
          <w:i/>
          <w:iCs/>
          <w:sz w:val="20"/>
          <w:szCs w:val="20"/>
        </w:rPr>
        <w:t xml:space="preserve"> </w:t>
      </w:r>
      <w:r w:rsidRPr="00D4235C">
        <w:rPr>
          <w:rFonts w:ascii="Times New Roman" w:hAnsi="Times New Roman" w:cs="Times New Roman"/>
          <w:bCs/>
          <w:i/>
          <w:iCs/>
          <w:sz w:val="20"/>
          <w:szCs w:val="20"/>
        </w:rPr>
        <w:t>to achieve consensus with gNB</w:t>
      </w:r>
      <w:r>
        <w:rPr>
          <w:rFonts w:ascii="Times New Roman" w:hAnsi="Times New Roman" w:cs="Times New Roman"/>
          <w:bCs/>
          <w:i/>
          <w:iCs/>
          <w:sz w:val="20"/>
          <w:szCs w:val="20"/>
        </w:rPr>
        <w:t xml:space="preserve"> </w:t>
      </w:r>
      <w:r w:rsidR="003C3C70">
        <w:rPr>
          <w:rFonts w:ascii="Times New Roman" w:hAnsi="Times New Roman" w:cs="Times New Roman"/>
          <w:bCs/>
          <w:i/>
          <w:iCs/>
          <w:sz w:val="20"/>
          <w:szCs w:val="20"/>
        </w:rPr>
        <w:t>on how to determine actual TDW</w:t>
      </w:r>
      <w:r>
        <w:rPr>
          <w:rFonts w:ascii="Times New Roman" w:hAnsi="Times New Roman" w:cs="Times New Roman"/>
          <w:bCs/>
          <w:i/>
          <w:iCs/>
          <w:sz w:val="20"/>
          <w:szCs w:val="20"/>
        </w:rPr>
        <w:t>.</w:t>
      </w:r>
    </w:p>
    <w:p w14:paraId="50D9D740" w14:textId="70D01C0B" w:rsidR="003C3C70" w:rsidRDefault="003C3C70" w:rsidP="003C3C70">
      <w:pPr>
        <w:jc w:val="both"/>
        <w:rPr>
          <w:rFonts w:ascii="Times New Roman" w:hAnsi="Times New Roman" w:cs="Times New Roman"/>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i/>
          <w:sz w:val="20"/>
          <w:szCs w:val="20"/>
        </w:rPr>
        <w:t xml:space="preserve">For the gNB centric TDW determination, at least the following </w:t>
      </w:r>
      <w:r>
        <w:rPr>
          <w:rFonts w:ascii="Times New Roman" w:hAnsi="Times New Roman" w:cs="Times New Roman"/>
          <w:i/>
          <w:sz w:val="20"/>
          <w:szCs w:val="20"/>
        </w:rPr>
        <w:t>details should be considered</w:t>
      </w:r>
      <w:r>
        <w:rPr>
          <w:rFonts w:ascii="Times New Roman" w:hAnsi="Times New Roman" w:cs="Times New Roman" w:hint="eastAsia"/>
          <w:i/>
          <w:sz w:val="20"/>
          <w:szCs w:val="20"/>
        </w:rPr>
        <w:t>.</w:t>
      </w:r>
    </w:p>
    <w:p w14:paraId="2DAEDE0F" w14:textId="77777777" w:rsidR="003C3C70" w:rsidRPr="003C3C70" w:rsidRDefault="003C3C70" w:rsidP="003C3C70">
      <w:pPr>
        <w:pStyle w:val="af5"/>
        <w:numPr>
          <w:ilvl w:val="0"/>
          <w:numId w:val="5"/>
        </w:numPr>
        <w:spacing w:beforeLines="50" w:before="120" w:after="120" w:line="240" w:lineRule="auto"/>
        <w:ind w:leftChars="0"/>
        <w:rPr>
          <w:rFonts w:ascii="Times New Roman" w:hAnsi="Times New Roman" w:cs="Times New Roman"/>
          <w:bCs/>
          <w:i/>
          <w:iCs/>
          <w:sz w:val="20"/>
          <w:szCs w:val="20"/>
        </w:rPr>
      </w:pPr>
      <w:r>
        <w:rPr>
          <w:rFonts w:ascii="Times New Roman" w:eastAsia="宋体" w:hAnsi="Times New Roman" w:cs="Times New Roman"/>
          <w:i/>
          <w:iCs/>
          <w:sz w:val="20"/>
          <w:szCs w:val="20"/>
        </w:rPr>
        <w:t>Nominal TDW is determined based on gNB configuration of nominal TDW size</w:t>
      </w:r>
    </w:p>
    <w:p w14:paraId="50238F4F" w14:textId="3126E015" w:rsidR="003C3C70" w:rsidRPr="003C3C70" w:rsidRDefault="003C3C70" w:rsidP="003C3C70">
      <w:pPr>
        <w:pStyle w:val="af5"/>
        <w:numPr>
          <w:ilvl w:val="0"/>
          <w:numId w:val="5"/>
        </w:numPr>
        <w:spacing w:beforeLines="50" w:before="120" w:after="120" w:line="240" w:lineRule="auto"/>
        <w:ind w:leftChars="0"/>
        <w:rPr>
          <w:rFonts w:ascii="Times New Roman" w:hAnsi="Times New Roman" w:cs="Times New Roman"/>
          <w:bCs/>
          <w:i/>
          <w:iCs/>
          <w:sz w:val="20"/>
          <w:szCs w:val="20"/>
        </w:rPr>
      </w:pPr>
      <w:r>
        <w:rPr>
          <w:rFonts w:ascii="Times New Roman" w:eastAsia="宋体" w:hAnsi="Times New Roman" w:cs="Times New Roman"/>
          <w:i/>
          <w:iCs/>
          <w:sz w:val="20"/>
          <w:szCs w:val="20"/>
        </w:rPr>
        <w:t>Actual TDW is determined based on gNB indication of pre-compensation segment length and configuration of nominal TDW size subject to UE reported capability</w:t>
      </w:r>
    </w:p>
    <w:p w14:paraId="5F0F87B9" w14:textId="0C7D5874" w:rsidR="003C3C70" w:rsidRDefault="003C3C70" w:rsidP="003C3C70">
      <w:pPr>
        <w:pStyle w:val="af5"/>
        <w:numPr>
          <w:ilvl w:val="1"/>
          <w:numId w:val="5"/>
        </w:numPr>
        <w:spacing w:beforeLines="50" w:before="120" w:after="120" w:line="240" w:lineRule="auto"/>
        <w:ind w:leftChars="0"/>
        <w:rPr>
          <w:rFonts w:ascii="Times New Roman" w:hAnsi="Times New Roman" w:cs="Times New Roman"/>
          <w:bCs/>
          <w:i/>
          <w:iCs/>
          <w:sz w:val="20"/>
          <w:szCs w:val="20"/>
        </w:rPr>
      </w:pPr>
      <w:r>
        <w:rPr>
          <w:rFonts w:ascii="Times New Roman" w:hAnsi="Times New Roman" w:cs="Times New Roman" w:hint="eastAsia"/>
          <w:bCs/>
          <w:i/>
          <w:iCs/>
          <w:sz w:val="20"/>
          <w:szCs w:val="20"/>
        </w:rPr>
        <w:t>F</w:t>
      </w:r>
      <w:r>
        <w:rPr>
          <w:rFonts w:ascii="Times New Roman" w:hAnsi="Times New Roman" w:cs="Times New Roman"/>
          <w:bCs/>
          <w:i/>
          <w:iCs/>
          <w:sz w:val="20"/>
          <w:szCs w:val="20"/>
        </w:rPr>
        <w:t xml:space="preserve">or UE without capability to support </w:t>
      </w:r>
      <w:r w:rsidRPr="003C3C70">
        <w:rPr>
          <w:rFonts w:ascii="Times New Roman" w:hAnsi="Times New Roman" w:cs="Times New Roman"/>
          <w:bCs/>
          <w:i/>
          <w:iCs/>
          <w:sz w:val="20"/>
          <w:szCs w:val="20"/>
        </w:rPr>
        <w:t>actual TDW across pre-compensation segments</w:t>
      </w:r>
      <w:r>
        <w:rPr>
          <w:rFonts w:ascii="Times New Roman" w:hAnsi="Times New Roman" w:cs="Times New Roman"/>
          <w:bCs/>
          <w:i/>
          <w:iCs/>
          <w:sz w:val="20"/>
          <w:szCs w:val="20"/>
        </w:rPr>
        <w:t xml:space="preserve">, actual TDW is determined </w:t>
      </w:r>
      <w:r w:rsidRPr="003C3C70">
        <w:rPr>
          <w:rFonts w:ascii="Times New Roman" w:hAnsi="Times New Roman" w:cs="Times New Roman"/>
          <w:bCs/>
          <w:i/>
          <w:iCs/>
          <w:sz w:val="20"/>
          <w:szCs w:val="20"/>
        </w:rPr>
        <w:t>based on</w:t>
      </w:r>
      <w:r w:rsidR="006A1E01" w:rsidRPr="006A1E01">
        <w:t xml:space="preserve"> </w:t>
      </w:r>
      <w:r w:rsidR="006A1E01" w:rsidRPr="006A1E01">
        <w:rPr>
          <w:rFonts w:ascii="Times New Roman" w:hAnsi="Times New Roman" w:cs="Times New Roman"/>
          <w:bCs/>
          <w:i/>
          <w:iCs/>
          <w:sz w:val="20"/>
          <w:szCs w:val="20"/>
        </w:rPr>
        <w:t>pre-compensation segment</w:t>
      </w:r>
      <w:r w:rsidRPr="003C3C70">
        <w:rPr>
          <w:rFonts w:ascii="Times New Roman" w:hAnsi="Times New Roman" w:cs="Times New Roman"/>
          <w:bCs/>
          <w:i/>
          <w:iCs/>
          <w:sz w:val="20"/>
          <w:szCs w:val="20"/>
        </w:rPr>
        <w:t>, e.g., by introducing a new event of pre-compensation update</w:t>
      </w:r>
      <w:r>
        <w:rPr>
          <w:rFonts w:ascii="Times New Roman" w:hAnsi="Times New Roman" w:cs="Times New Roman"/>
          <w:bCs/>
          <w:i/>
          <w:iCs/>
          <w:sz w:val="20"/>
          <w:szCs w:val="20"/>
        </w:rPr>
        <w:t>, in addition to nominal TDW</w:t>
      </w:r>
    </w:p>
    <w:p w14:paraId="3E18B483" w14:textId="1D7FDFE9" w:rsidR="00D4235C" w:rsidRPr="003C3C70" w:rsidRDefault="003C3C70" w:rsidP="003C3C70">
      <w:pPr>
        <w:pStyle w:val="af5"/>
        <w:numPr>
          <w:ilvl w:val="1"/>
          <w:numId w:val="5"/>
        </w:numPr>
        <w:spacing w:beforeLines="50" w:before="120" w:after="120" w:line="240" w:lineRule="auto"/>
        <w:ind w:leftChars="0"/>
        <w:rPr>
          <w:rFonts w:ascii="Times New Roman" w:hAnsi="Times New Roman" w:cs="Times New Roman"/>
          <w:bCs/>
          <w:i/>
          <w:iCs/>
          <w:sz w:val="20"/>
          <w:szCs w:val="20"/>
        </w:rPr>
      </w:pPr>
      <w:r w:rsidRPr="003C3C70">
        <w:rPr>
          <w:rFonts w:ascii="Times New Roman" w:hAnsi="Times New Roman" w:cs="Times New Roman"/>
          <w:bCs/>
          <w:i/>
          <w:iCs/>
          <w:sz w:val="20"/>
          <w:szCs w:val="20"/>
        </w:rPr>
        <w:t>For UE with capability to support actual TDW across pre-compensation segments, actual TDW is determined based</w:t>
      </w:r>
      <w:r>
        <w:rPr>
          <w:rFonts w:ascii="Times New Roman" w:hAnsi="Times New Roman" w:cs="Times New Roman"/>
          <w:bCs/>
          <w:i/>
          <w:iCs/>
          <w:sz w:val="20"/>
          <w:szCs w:val="20"/>
        </w:rPr>
        <w:t xml:space="preserve"> on nominal TDW</w:t>
      </w:r>
    </w:p>
    <w:p w14:paraId="5D5F0EE4" w14:textId="77777777" w:rsidR="001E4EF0" w:rsidRDefault="00B603FA">
      <w:pPr>
        <w:pStyle w:val="2"/>
        <w:keepNext w:val="0"/>
        <w:keepLines w:val="0"/>
        <w:widowControl w:val="0"/>
        <w:numPr>
          <w:ilvl w:val="1"/>
          <w:numId w:val="3"/>
        </w:numPr>
        <w:tabs>
          <w:tab w:val="left" w:pos="432"/>
        </w:tabs>
        <w:snapToGrid w:val="0"/>
        <w:spacing w:beforeLines="50" w:before="120" w:afterLines="50" w:after="120" w:line="240" w:lineRule="auto"/>
        <w:ind w:left="454" w:hanging="454"/>
        <w:rPr>
          <w:rFonts w:cs="Times New Roman"/>
          <w:bCs/>
          <w:sz w:val="24"/>
          <w:szCs w:val="24"/>
        </w:rPr>
      </w:pPr>
      <w:r>
        <w:rPr>
          <w:rFonts w:cs="Times New Roman" w:hint="eastAsia"/>
          <w:bCs/>
          <w:sz w:val="24"/>
          <w:szCs w:val="24"/>
        </w:rPr>
        <w:t>PUCCH for Msg4 HARQ-ACK</w:t>
      </w:r>
    </w:p>
    <w:p w14:paraId="22CB1ECA" w14:textId="77777777" w:rsidR="001E4EF0" w:rsidRDefault="00B603FA">
      <w:pPr>
        <w:pStyle w:val="3"/>
        <w:numPr>
          <w:ilvl w:val="2"/>
          <w:numId w:val="3"/>
        </w:numPr>
        <w:spacing w:line="240" w:lineRule="auto"/>
        <w:ind w:left="709" w:hanging="709"/>
        <w:rPr>
          <w:rFonts w:ascii="Arial" w:eastAsia="黑体" w:hAnsi="Arial"/>
          <w:b/>
          <w:bCs/>
          <w:sz w:val="20"/>
          <w:szCs w:val="20"/>
          <w:lang w:eastAsia="zh-CN"/>
        </w:rPr>
      </w:pPr>
      <w:r>
        <w:rPr>
          <w:rFonts w:ascii="Arial" w:eastAsia="黑体" w:hAnsi="Arial"/>
          <w:b/>
          <w:bCs/>
          <w:sz w:val="20"/>
          <w:szCs w:val="20"/>
          <w:lang w:eastAsia="zh-CN"/>
        </w:rPr>
        <w:t>Information report from UE</w:t>
      </w:r>
    </w:p>
    <w:p w14:paraId="6568FCAE" w14:textId="77777777" w:rsidR="001E4EF0" w:rsidRDefault="00B603FA">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In RAN1 #112[1], the </w:t>
      </w:r>
      <w:r>
        <w:rPr>
          <w:rFonts w:ascii="Times New Roman" w:hAnsi="Times New Roman" w:cs="Times New Roman"/>
          <w:sz w:val="20"/>
          <w:szCs w:val="20"/>
        </w:rPr>
        <w:t>information report from UE</w:t>
      </w:r>
      <w:r>
        <w:rPr>
          <w:rFonts w:ascii="Times New Roman" w:hAnsi="Times New Roman" w:cs="Times New Roman" w:hint="eastAsia"/>
          <w:sz w:val="20"/>
          <w:szCs w:val="20"/>
        </w:rPr>
        <w:t xml:space="preserve"> was discussed and corresponding working assumption was </w:t>
      </w:r>
      <w:r>
        <w:rPr>
          <w:rFonts w:ascii="Times New Roman" w:hAnsi="Times New Roman" w:cs="Times New Roman"/>
          <w:sz w:val="20"/>
          <w:szCs w:val="20"/>
        </w:rPr>
        <w:t>made</w:t>
      </w:r>
      <w:r>
        <w:rPr>
          <w:rFonts w:ascii="Times New Roman" w:hAnsi="Times New Roman" w:cs="Times New Roman" w:hint="eastAsia"/>
          <w:sz w:val="20"/>
          <w:szCs w:val="20"/>
        </w:rPr>
        <w:t>. In RAN1 #112bis-e</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_Ref2933 \r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[1]</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the working assumption was further discussed but no agreement was </w:t>
      </w:r>
      <w:r>
        <w:rPr>
          <w:rFonts w:ascii="Times New Roman" w:hAnsi="Times New Roman" w:cs="Times New Roman"/>
          <w:sz w:val="20"/>
          <w:szCs w:val="20"/>
        </w:rPr>
        <w:t>achieved</w:t>
      </w:r>
      <w:r>
        <w:rPr>
          <w:rFonts w:ascii="Times New Roman" w:hAnsi="Times New Roman" w:cs="Times New Roman" w:hint="eastAsia"/>
          <w:sz w:val="20"/>
          <w:szCs w:val="20"/>
        </w:rPr>
        <w:t>.</w:t>
      </w:r>
    </w:p>
    <w:tbl>
      <w:tblPr>
        <w:tblStyle w:val="af1"/>
        <w:tblW w:w="0" w:type="auto"/>
        <w:tblLook w:val="04A0" w:firstRow="1" w:lastRow="0" w:firstColumn="1" w:lastColumn="0" w:noHBand="0" w:noVBand="1"/>
      </w:tblPr>
      <w:tblGrid>
        <w:gridCol w:w="9350"/>
      </w:tblGrid>
      <w:tr w:rsidR="001E4EF0" w14:paraId="58CCCAB8" w14:textId="77777777">
        <w:trPr>
          <w:trHeight w:val="90"/>
        </w:trPr>
        <w:tc>
          <w:tcPr>
            <w:tcW w:w="9576" w:type="dxa"/>
          </w:tcPr>
          <w:p w14:paraId="07B27C20" w14:textId="77777777" w:rsidR="001E4EF0" w:rsidRDefault="00B603FA">
            <w:pPr>
              <w:snapToGrid w:val="0"/>
              <w:rPr>
                <w:rFonts w:ascii="Times New Roman" w:hAnsi="Times New Roman" w:cs="Times New Roman"/>
                <w:b/>
                <w:sz w:val="20"/>
                <w:szCs w:val="20"/>
                <w:highlight w:val="yellow"/>
                <w:u w:val="single"/>
              </w:rPr>
            </w:pPr>
            <w:r>
              <w:rPr>
                <w:rFonts w:ascii="Times New Roman" w:hAnsi="Times New Roman" w:cs="Times New Roman" w:hint="eastAsia"/>
                <w:b/>
                <w:sz w:val="20"/>
                <w:szCs w:val="20"/>
                <w:highlight w:val="yellow"/>
                <w:u w:val="single"/>
              </w:rPr>
              <w:t>Proposal 1-4_v2</w:t>
            </w:r>
          </w:p>
          <w:p w14:paraId="65509417" w14:textId="77777777" w:rsidR="001E4EF0" w:rsidRDefault="00B603FA">
            <w:pPr>
              <w:snapToGrid w:val="0"/>
              <w:rPr>
                <w:rFonts w:ascii="Times New Roman" w:hAnsi="Times New Roman" w:cs="Times New Roman"/>
                <w:sz w:val="20"/>
                <w:szCs w:val="20"/>
              </w:rPr>
            </w:pPr>
            <w:r>
              <w:rPr>
                <w:rFonts w:ascii="Times New Roman" w:hAnsi="Times New Roman" w:cs="Times New Roman" w:hint="eastAsia"/>
                <w:sz w:val="20"/>
                <w:szCs w:val="20"/>
              </w:rPr>
              <w:t>Update the working assumption at RAN1 #112 with down-selection of Alt B for RSRP threshold to determine whether UE capable of PUCCH repetition for Msg4 HARQ-ACK transmits repetition request or not</w:t>
            </w:r>
            <w:r>
              <w:rPr>
                <w:rFonts w:ascii="Times New Roman" w:hAnsi="Times New Roman" w:cs="Times New Roman"/>
                <w:sz w:val="20"/>
                <w:szCs w:val="20"/>
              </w:rPr>
              <w:t>,</w:t>
            </w:r>
          </w:p>
          <w:p w14:paraId="5F4E2699" w14:textId="77777777" w:rsidR="001E4EF0" w:rsidRDefault="00B603FA">
            <w:pPr>
              <w:numPr>
                <w:ilvl w:val="0"/>
                <w:numId w:val="6"/>
              </w:numPr>
              <w:snapToGrid w:val="0"/>
              <w:spacing w:line="240" w:lineRule="auto"/>
              <w:ind w:leftChars="200" w:left="440" w:firstLine="0"/>
              <w:rPr>
                <w:rFonts w:ascii="Times New Roman" w:hAnsi="Times New Roman" w:cs="Times New Roman"/>
                <w:sz w:val="20"/>
                <w:szCs w:val="20"/>
              </w:rPr>
            </w:pPr>
            <w:r>
              <w:rPr>
                <w:rFonts w:ascii="Times New Roman" w:hAnsi="Times New Roman" w:cs="Times New Roman" w:hint="eastAsia"/>
                <w:sz w:val="20"/>
                <w:szCs w:val="20"/>
              </w:rPr>
              <w:lastRenderedPageBreak/>
              <w:t>Alt B: New RSRP threshold is introduced.</w:t>
            </w:r>
          </w:p>
          <w:p w14:paraId="542B992B" w14:textId="77777777" w:rsidR="001E4EF0" w:rsidRDefault="00B603FA">
            <w:pPr>
              <w:numPr>
                <w:ilvl w:val="0"/>
                <w:numId w:val="7"/>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hint="eastAsia"/>
                <w:sz w:val="20"/>
                <w:szCs w:val="20"/>
              </w:rPr>
              <w:t>Note: the same value between the new RSRP threshold and the RSRP threshold for R17 Msg3 repetition can be configured by gNB implementation.</w:t>
            </w:r>
          </w:p>
          <w:p w14:paraId="279FDB71" w14:textId="77777777" w:rsidR="001E4EF0" w:rsidRDefault="00B603FA">
            <w:pPr>
              <w:numPr>
                <w:ilvl w:val="0"/>
                <w:numId w:val="7"/>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hint="eastAsia"/>
                <w:sz w:val="20"/>
                <w:szCs w:val="20"/>
              </w:rPr>
              <w:t>FFS: how to define new RSRP threshold (e.g., absolute value, relative value to the RSRP threshold for R17 Msg3 repetition)</w:t>
            </w:r>
          </w:p>
          <w:p w14:paraId="3AB24934" w14:textId="77777777" w:rsidR="001E4EF0" w:rsidRDefault="00B603FA">
            <w:pPr>
              <w:numPr>
                <w:ilvl w:val="0"/>
                <w:numId w:val="7"/>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hint="eastAsia"/>
                <w:sz w:val="20"/>
                <w:szCs w:val="20"/>
              </w:rPr>
              <w:t>Note: This update does not imply the working assumption is configured as an agreement</w:t>
            </w:r>
          </w:p>
          <w:p w14:paraId="64AF30D9" w14:textId="77777777" w:rsidR="001E4EF0" w:rsidRDefault="00B603FA">
            <w:pPr>
              <w:snapToGrid w:val="0"/>
              <w:rPr>
                <w:rFonts w:ascii="Times New Roman" w:hAnsi="Times New Roman" w:cs="Times New Roman"/>
                <w:b/>
                <w:sz w:val="20"/>
                <w:szCs w:val="20"/>
                <w:highlight w:val="yellow"/>
                <w:u w:val="single"/>
              </w:rPr>
            </w:pPr>
            <w:r>
              <w:rPr>
                <w:rFonts w:ascii="Times New Roman" w:hAnsi="Times New Roman" w:cs="Times New Roman" w:hint="eastAsia"/>
                <w:b/>
                <w:sz w:val="20"/>
                <w:szCs w:val="20"/>
                <w:highlight w:val="yellow"/>
                <w:u w:val="single"/>
              </w:rPr>
              <w:t>Proposal 1-4_v3</w:t>
            </w:r>
          </w:p>
          <w:p w14:paraId="2FF1D052" w14:textId="77777777" w:rsidR="001E4EF0" w:rsidRDefault="00B603FA">
            <w:pPr>
              <w:numPr>
                <w:ilvl w:val="255"/>
                <w:numId w:val="0"/>
              </w:numPr>
              <w:snapToGrid w:val="0"/>
              <w:spacing w:before="60" w:after="60" w:line="260" w:lineRule="auto"/>
              <w:rPr>
                <w:rFonts w:ascii="Times New Roman" w:hAnsi="Times New Roman" w:cs="Times New Roman"/>
                <w:sz w:val="20"/>
                <w:szCs w:val="20"/>
              </w:rPr>
            </w:pPr>
            <w:r>
              <w:rPr>
                <w:rFonts w:ascii="Times New Roman" w:hAnsi="Times New Roman" w:cs="Times New Roman" w:hint="eastAsia"/>
                <w:sz w:val="20"/>
                <w:szCs w:val="20"/>
              </w:rPr>
              <w:t>Decide at RAN1 #113 whether or not RAN1 confirm the working assumption at RAN1 #112 including Alt A and Alt B for RSRP threshold to determine whether UE capable of PUCCH repetition for Msg4 HARQ-ACK transmits repetition request or not.</w:t>
            </w:r>
          </w:p>
          <w:p w14:paraId="6AD1AB4F" w14:textId="77777777" w:rsidR="001E4EF0" w:rsidRDefault="00B603FA">
            <w:pPr>
              <w:numPr>
                <w:ilvl w:val="0"/>
                <w:numId w:val="6"/>
              </w:numPr>
              <w:snapToGrid w:val="0"/>
              <w:spacing w:after="0" w:line="240" w:lineRule="auto"/>
              <w:ind w:leftChars="200" w:left="440" w:firstLine="0"/>
              <w:rPr>
                <w:rFonts w:ascii="Times New Roman" w:hAnsi="Times New Roman" w:cs="Times New Roman"/>
                <w:sz w:val="20"/>
                <w:szCs w:val="20"/>
              </w:rPr>
            </w:pPr>
            <w:r>
              <w:rPr>
                <w:rFonts w:ascii="Times New Roman" w:hAnsi="Times New Roman" w:cs="Times New Roman" w:hint="eastAsia"/>
                <w:sz w:val="20"/>
                <w:szCs w:val="20"/>
              </w:rPr>
              <w:t>If the working assumption is confirmed as an agreement, Alt B is down-selected</w:t>
            </w:r>
            <w:r>
              <w:rPr>
                <w:rFonts w:ascii="Times New Roman" w:hAnsi="Times New Roman" w:cs="Times New Roman"/>
                <w:sz w:val="20"/>
                <w:szCs w:val="20"/>
              </w:rPr>
              <w:t>.</w:t>
            </w:r>
          </w:p>
          <w:p w14:paraId="08A5E785" w14:textId="77777777" w:rsidR="001E4EF0" w:rsidRDefault="00B603FA">
            <w:pPr>
              <w:numPr>
                <w:ilvl w:val="0"/>
                <w:numId w:val="7"/>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hint="eastAsia"/>
                <w:sz w:val="20"/>
                <w:szCs w:val="20"/>
              </w:rPr>
              <w:t>Note: the same value between the new RSRP threshold and the RSRP threshold for R17 Msg3 repetition can be configured by gNB implementation.</w:t>
            </w:r>
          </w:p>
          <w:p w14:paraId="5FAF897E" w14:textId="77777777" w:rsidR="001E4EF0" w:rsidRDefault="00B603FA">
            <w:pPr>
              <w:numPr>
                <w:ilvl w:val="0"/>
                <w:numId w:val="7"/>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hint="eastAsia"/>
                <w:sz w:val="20"/>
                <w:szCs w:val="20"/>
              </w:rPr>
              <w:t>FFS: how to define new RSRP threshold (e.g., absolute value, relative value to the RSRP threshold for R17 Msg3 repetition)</w:t>
            </w:r>
          </w:p>
          <w:p w14:paraId="6C3A9F1B" w14:textId="77777777" w:rsidR="001E4EF0" w:rsidRDefault="00B603FA">
            <w:pPr>
              <w:numPr>
                <w:ilvl w:val="0"/>
                <w:numId w:val="7"/>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hint="eastAsia"/>
                <w:sz w:val="20"/>
                <w:szCs w:val="20"/>
              </w:rPr>
              <w:t>Note: This update does not imply the working assumption is configured as an agreement</w:t>
            </w:r>
          </w:p>
          <w:p w14:paraId="1FF6C413" w14:textId="77777777" w:rsidR="001E4EF0" w:rsidRDefault="001E4EF0">
            <w:pPr>
              <w:numPr>
                <w:ilvl w:val="255"/>
                <w:numId w:val="0"/>
              </w:numPr>
              <w:snapToGrid w:val="0"/>
              <w:spacing w:before="60" w:after="60" w:line="260" w:lineRule="auto"/>
              <w:rPr>
                <w:rFonts w:ascii="Times New Roman" w:hAnsi="Times New Roman" w:cs="Times New Roman"/>
                <w:sz w:val="2"/>
                <w:szCs w:val="2"/>
              </w:rPr>
            </w:pPr>
          </w:p>
        </w:tc>
      </w:tr>
    </w:tbl>
    <w:p w14:paraId="6B8F0179" w14:textId="432ADE32" w:rsidR="001E4EF0" w:rsidRDefault="00B603FA">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In our understanding, the RSRP threshold to determine whether to perform repetition is not necessary. Firstly, it should be noted that RSRP variation within an NTN cell is small, which is different from TN. Even in higher layer procedures in NTN, where RRM measurements are available and much more accurate than RSRP measurement in physical layer, time and </w:t>
      </w:r>
      <w:r w:rsidR="008A4E5C">
        <w:rPr>
          <w:rFonts w:ascii="Times New Roman" w:hAnsi="Times New Roman" w:cs="Times New Roman"/>
          <w:sz w:val="20"/>
          <w:szCs w:val="20"/>
        </w:rPr>
        <w:t>location-based</w:t>
      </w:r>
      <w:r>
        <w:rPr>
          <w:rFonts w:ascii="Times New Roman" w:hAnsi="Times New Roman" w:cs="Times New Roman"/>
          <w:sz w:val="20"/>
          <w:szCs w:val="20"/>
        </w:rPr>
        <w:t xml:space="preserve"> handover solutions are designed in Rel-17 to replace legacy RSRP based handover solution. Hence, RSRP is not a proper parameter to distinguish UEs within an NTN cell, which could have similar RSRP. Secondly, the RSRP threshold configured by network is for DL RSRP measurement, while the PUCCH repetition is a UL transmission, which are mismatched. UE’s RSRP measurement on DL signal cannot accurately reflect the PUCCH decoding performance at gNB. In legacy TN, since RSRP variation can be very large within a cell, DL RSRP measurement can reflect UL performance to some extent even if there is some inaccuracy caused by mismatch. While in NTN, since the RSRP variation is small, the inaccuracy could have significant impact, i.e., the PUCCH repetition cannot be well controlled by DL RSRP measurement. Moreover, it has already been agreed in previous meeting that dynamic indication of repetition factor by network is supported when multiple repetition factors are configured in SIB, which also indicates that gNB can better determine which repetition factor should be used. Thirdly, SIB configuration of repetition factors can already control whether to perform repetition. If the satellite is in a low orbit and high elevation angle, where link budget is high and no need of PUCCH repetition, network can just not configure the repetition factors in SIB. If the elevation angle is low or satellite orbit is high, network can enable the PUCCH repetition by configuring the repetition factor in the SIB. Since UEs within a cell has similar RSRP, such cell specific control mechanism is already enough. Defining an RSRP threshold is completely redundant, which will make the spec more complicated without benefit. Based on above analysis, RSRP threshold should not be introduced, i.e., the working assumption </w:t>
      </w:r>
      <w:r>
        <w:rPr>
          <w:rFonts w:ascii="Times New Roman" w:hAnsi="Times New Roman" w:cs="Times New Roman" w:hint="eastAsia"/>
          <w:sz w:val="20"/>
          <w:szCs w:val="20"/>
        </w:rPr>
        <w:t>at RAN1 #112 for RSRP threshold</w:t>
      </w:r>
      <w:r>
        <w:rPr>
          <w:rFonts w:ascii="Times New Roman" w:hAnsi="Times New Roman" w:cs="Times New Roman"/>
          <w:sz w:val="20"/>
          <w:szCs w:val="20"/>
        </w:rPr>
        <w:t xml:space="preserve"> should not be confirmed.</w:t>
      </w:r>
    </w:p>
    <w:p w14:paraId="68387DCF" w14:textId="4A654CDD" w:rsidR="001E4EF0" w:rsidRPr="003C3C70" w:rsidRDefault="00B603FA">
      <w:pPr>
        <w:numPr>
          <w:ilvl w:val="3"/>
          <w:numId w:val="0"/>
        </w:numPr>
        <w:spacing w:line="240" w:lineRule="auto"/>
        <w:jc w:val="both"/>
        <w:rPr>
          <w:rFonts w:ascii="Times New Roman" w:hAnsi="Times New Roman" w:cs="Times New Roman"/>
          <w:i/>
          <w:iCs/>
          <w:sz w:val="20"/>
          <w:szCs w:val="20"/>
        </w:rPr>
      </w:pPr>
      <w:r w:rsidRPr="003C3C70">
        <w:rPr>
          <w:rFonts w:ascii="Times New Roman" w:hAnsi="Times New Roman" w:cs="Times New Roman"/>
          <w:b/>
          <w:bCs/>
          <w:i/>
          <w:iCs/>
          <w:sz w:val="20"/>
          <w:szCs w:val="20"/>
        </w:rPr>
        <w:t xml:space="preserve">Proposal </w:t>
      </w:r>
      <w:r w:rsidR="003C3C70" w:rsidRPr="003C3C70">
        <w:rPr>
          <w:rFonts w:ascii="Times New Roman" w:hAnsi="Times New Roman" w:cs="Times New Roman"/>
          <w:b/>
          <w:bCs/>
          <w:i/>
          <w:iCs/>
          <w:sz w:val="20"/>
          <w:szCs w:val="20"/>
        </w:rPr>
        <w:t>3</w:t>
      </w:r>
      <w:r w:rsidRPr="003C3C70">
        <w:rPr>
          <w:rFonts w:ascii="Times New Roman" w:hAnsi="Times New Roman" w:cs="Times New Roman"/>
          <w:b/>
          <w:bCs/>
          <w:i/>
          <w:iCs/>
          <w:sz w:val="20"/>
          <w:szCs w:val="20"/>
        </w:rPr>
        <w:t>:</w:t>
      </w:r>
      <w:r w:rsidRPr="003C3C70">
        <w:rPr>
          <w:rFonts w:ascii="Times New Roman" w:hAnsi="Times New Roman" w:cs="Times New Roman"/>
          <w:i/>
          <w:iCs/>
          <w:sz w:val="20"/>
          <w:szCs w:val="20"/>
        </w:rPr>
        <w:t xml:space="preserve"> The working assumption on introducing RSRP threshold should not be confirmed, since defining RSRP threshold to configure PUCCH repetition is redundant, which make the specification more complicated without </w:t>
      </w:r>
      <w:r w:rsidRPr="003C3C70">
        <w:rPr>
          <w:rFonts w:ascii="Times New Roman" w:hAnsi="Times New Roman" w:cs="Times New Roman" w:hint="eastAsia"/>
          <w:i/>
          <w:iCs/>
          <w:sz w:val="20"/>
          <w:szCs w:val="20"/>
        </w:rPr>
        <w:t>benefits</w:t>
      </w:r>
      <w:r w:rsidRPr="003C3C70">
        <w:rPr>
          <w:rFonts w:ascii="Times New Roman" w:hAnsi="Times New Roman" w:cs="Times New Roman"/>
          <w:i/>
          <w:iCs/>
          <w:sz w:val="20"/>
          <w:szCs w:val="20"/>
        </w:rPr>
        <w:t>.</w:t>
      </w:r>
    </w:p>
    <w:p w14:paraId="5A3F5BF8" w14:textId="36306AAA" w:rsidR="001E4EF0" w:rsidRDefault="00B603FA">
      <w:pPr>
        <w:numPr>
          <w:ilvl w:val="3"/>
          <w:numId w:val="0"/>
        </w:numPr>
        <w:spacing w:line="240" w:lineRule="auto"/>
        <w:jc w:val="both"/>
        <w:rPr>
          <w:rFonts w:ascii="Times New Roman" w:hAnsi="Times New Roman" w:cs="Times New Roman"/>
          <w:i/>
          <w:iCs/>
          <w:sz w:val="20"/>
          <w:szCs w:val="20"/>
        </w:rPr>
      </w:pPr>
      <w:r w:rsidRPr="003C3C70">
        <w:rPr>
          <w:rFonts w:ascii="Times New Roman" w:hAnsi="Times New Roman" w:cs="Times New Roman"/>
          <w:b/>
          <w:bCs/>
          <w:i/>
          <w:iCs/>
          <w:sz w:val="20"/>
          <w:szCs w:val="20"/>
        </w:rPr>
        <w:t xml:space="preserve">Proposal </w:t>
      </w:r>
      <w:r w:rsidR="003C3C70" w:rsidRPr="003C3C70">
        <w:rPr>
          <w:rFonts w:ascii="Times New Roman" w:hAnsi="Times New Roman" w:cs="Times New Roman"/>
          <w:b/>
          <w:bCs/>
          <w:i/>
          <w:iCs/>
          <w:sz w:val="20"/>
          <w:szCs w:val="20"/>
        </w:rPr>
        <w:t>4</w:t>
      </w:r>
      <w:r w:rsidRPr="003C3C70">
        <w:rPr>
          <w:rFonts w:ascii="Times New Roman" w:hAnsi="Times New Roman" w:cs="Times New Roman"/>
          <w:b/>
          <w:bCs/>
          <w:i/>
          <w:iCs/>
          <w:sz w:val="20"/>
          <w:szCs w:val="20"/>
        </w:rPr>
        <w:t>:</w:t>
      </w:r>
      <w:r w:rsidRPr="003C3C70">
        <w:rPr>
          <w:rFonts w:ascii="Times New Roman" w:hAnsi="Times New Roman" w:cs="Times New Roman"/>
          <w:i/>
          <w:iCs/>
          <w:sz w:val="20"/>
          <w:szCs w:val="20"/>
        </w:rPr>
        <w:t xml:space="preserve"> For PUCCH repetition for Msg4 HARQ-ACK, UE capable of PUCCH repetition reports the capability of PUCCH repetition for Msg4 HARQ-ACK regardless of whether the threshold is configured or not.</w:t>
      </w:r>
    </w:p>
    <w:p w14:paraId="4BB816E7" w14:textId="77777777" w:rsidR="001E4EF0" w:rsidRDefault="00B603FA">
      <w:pPr>
        <w:pStyle w:val="3"/>
        <w:numPr>
          <w:ilvl w:val="2"/>
          <w:numId w:val="3"/>
        </w:numPr>
        <w:spacing w:line="240" w:lineRule="auto"/>
        <w:ind w:left="709" w:hanging="709"/>
        <w:rPr>
          <w:rFonts w:ascii="Arial" w:eastAsia="黑体" w:hAnsi="Arial"/>
          <w:b/>
          <w:bCs/>
          <w:sz w:val="20"/>
          <w:szCs w:val="20"/>
          <w:lang w:eastAsia="zh-CN"/>
        </w:rPr>
      </w:pPr>
      <w:r>
        <w:rPr>
          <w:rFonts w:ascii="Arial" w:eastAsia="黑体" w:hAnsi="Arial" w:hint="eastAsia"/>
          <w:b/>
          <w:bCs/>
          <w:sz w:val="20"/>
          <w:szCs w:val="20"/>
          <w:lang w:eastAsia="zh-CN"/>
        </w:rPr>
        <w:t>Dynamic indication</w:t>
      </w:r>
    </w:p>
    <w:p w14:paraId="705385A4" w14:textId="77777777" w:rsidR="001E4EF0" w:rsidRDefault="00B603FA">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In RAN1 #112bis-e[1], the dynamic indication of repetition number of PUCCH for Msg4 HARQ-ACK was discussed and following agreement was agreed.</w:t>
      </w:r>
    </w:p>
    <w:tbl>
      <w:tblPr>
        <w:tblStyle w:val="af1"/>
        <w:tblW w:w="0" w:type="auto"/>
        <w:tblLook w:val="04A0" w:firstRow="1" w:lastRow="0" w:firstColumn="1" w:lastColumn="0" w:noHBand="0" w:noVBand="1"/>
      </w:tblPr>
      <w:tblGrid>
        <w:gridCol w:w="9350"/>
      </w:tblGrid>
      <w:tr w:rsidR="001E4EF0" w14:paraId="7531B9C0" w14:textId="77777777">
        <w:trPr>
          <w:trHeight w:val="1001"/>
        </w:trPr>
        <w:tc>
          <w:tcPr>
            <w:tcW w:w="9576" w:type="dxa"/>
          </w:tcPr>
          <w:p w14:paraId="4F3AC9BB" w14:textId="77777777" w:rsidR="001E4EF0" w:rsidRDefault="00B603FA">
            <w:pPr>
              <w:numPr>
                <w:ilvl w:val="255"/>
                <w:numId w:val="0"/>
              </w:numPr>
              <w:snapToGrid w:val="0"/>
              <w:spacing w:before="60" w:after="60"/>
              <w:rPr>
                <w:rFonts w:ascii="Times New Roman" w:hAnsi="Times New Roman" w:cs="Times New Roman"/>
                <w:b/>
                <w:sz w:val="20"/>
                <w:szCs w:val="20"/>
                <w:highlight w:val="green"/>
                <w:u w:val="single"/>
              </w:rPr>
            </w:pPr>
            <w:bookmarkStart w:id="5" w:name="_Hlk128590381"/>
            <w:r>
              <w:rPr>
                <w:rFonts w:ascii="Times New Roman" w:hAnsi="Times New Roman" w:cs="Times New Roman"/>
                <w:b/>
                <w:sz w:val="20"/>
                <w:szCs w:val="20"/>
                <w:highlight w:val="green"/>
                <w:u w:val="single"/>
              </w:rPr>
              <w:lastRenderedPageBreak/>
              <w:t>Agreement</w:t>
            </w:r>
          </w:p>
          <w:p w14:paraId="1D59ED2B" w14:textId="77777777" w:rsidR="001E4EF0" w:rsidRDefault="00B603FA">
            <w:pPr>
              <w:numPr>
                <w:ilvl w:val="255"/>
                <w:numId w:val="0"/>
              </w:numPr>
              <w:snapToGrid w:val="0"/>
              <w:spacing w:before="60" w:after="60"/>
              <w:rPr>
                <w:rFonts w:ascii="Times New Roman" w:hAnsi="Times New Roman" w:cs="Times New Roman"/>
                <w:sz w:val="20"/>
                <w:szCs w:val="20"/>
              </w:rPr>
            </w:pPr>
            <w:r>
              <w:rPr>
                <w:rFonts w:ascii="Times New Roman" w:hAnsi="Times New Roman" w:cs="Times New Roman" w:hint="eastAsia"/>
                <w:sz w:val="20"/>
                <w:szCs w:val="20"/>
              </w:rPr>
              <w:t>For PUCCH repetition for Msg4 HARQ-ACK, support Alt 1-1 for dynamic indication of repetition factor from gNB. Further discuss which field(s) to be used</w:t>
            </w:r>
            <w:r>
              <w:rPr>
                <w:rFonts w:ascii="Times New Roman" w:hAnsi="Times New Roman" w:cs="Times New Roman"/>
                <w:sz w:val="20"/>
                <w:szCs w:val="20"/>
              </w:rPr>
              <w:t>.</w:t>
            </w:r>
          </w:p>
          <w:p w14:paraId="1DEC431F" w14:textId="77777777" w:rsidR="001E4EF0" w:rsidRDefault="00B603FA">
            <w:pPr>
              <w:numPr>
                <w:ilvl w:val="0"/>
                <w:numId w:val="8"/>
              </w:numPr>
              <w:snapToGrid w:val="0"/>
              <w:spacing w:before="60" w:after="60" w:line="260" w:lineRule="auto"/>
              <w:ind w:leftChars="200" w:left="860"/>
              <w:rPr>
                <w:rFonts w:ascii="Times New Roman" w:hAnsi="Times New Roman" w:cs="Times New Roman"/>
                <w:sz w:val="20"/>
                <w:szCs w:val="20"/>
              </w:rPr>
            </w:pPr>
            <w:r>
              <w:rPr>
                <w:rFonts w:ascii="Times New Roman" w:hAnsi="Times New Roman" w:cs="Times New Roman"/>
                <w:sz w:val="20"/>
                <w:szCs w:val="20"/>
              </w:rPr>
              <w:t>Alt 1: Field in DCI scheduling the Msg4 PDSCH</w:t>
            </w:r>
          </w:p>
          <w:p w14:paraId="0BD7AE18" w14:textId="77777777" w:rsidR="001E4EF0" w:rsidRDefault="00B603FA">
            <w:pPr>
              <w:numPr>
                <w:ilvl w:val="0"/>
                <w:numId w:val="7"/>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Alt 1-1: One or two bits of the existing field</w:t>
            </w:r>
          </w:p>
          <w:p w14:paraId="6C3E7A2D" w14:textId="77777777" w:rsidR="001E4EF0" w:rsidRDefault="00B603FA">
            <w:pPr>
              <w:numPr>
                <w:ilvl w:val="0"/>
                <w:numId w:val="9"/>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1-1a: MCS field</w:t>
            </w:r>
          </w:p>
          <w:p w14:paraId="33E1F7AD" w14:textId="77777777" w:rsidR="001E4EF0" w:rsidRDefault="00B603FA">
            <w:pPr>
              <w:numPr>
                <w:ilvl w:val="0"/>
                <w:numId w:val="9"/>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1-1b: PUCCH resource indicator field (e.g., with repetition factor configuration per PUCCH resource)</w:t>
            </w:r>
          </w:p>
          <w:p w14:paraId="7EE76DE7" w14:textId="77777777" w:rsidR="001E4EF0" w:rsidRDefault="00B603FA">
            <w:pPr>
              <w:numPr>
                <w:ilvl w:val="0"/>
                <w:numId w:val="9"/>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1-1c: HARQ process number filed</w:t>
            </w:r>
          </w:p>
          <w:p w14:paraId="0F7030C1" w14:textId="77777777" w:rsidR="001E4EF0" w:rsidRDefault="00B603FA">
            <w:pPr>
              <w:numPr>
                <w:ilvl w:val="0"/>
                <w:numId w:val="9"/>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1-1d: DAI field</w:t>
            </w:r>
          </w:p>
          <w:p w14:paraId="5E0B1D13" w14:textId="77777777" w:rsidR="001E4EF0" w:rsidRDefault="00B603FA">
            <w:pPr>
              <w:numPr>
                <w:ilvl w:val="0"/>
                <w:numId w:val="9"/>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1-1e: PDSCH-to-HARQ_feedback timing indicator field</w:t>
            </w:r>
          </w:p>
          <w:bookmarkEnd w:id="5"/>
          <w:p w14:paraId="6B674E3F" w14:textId="77777777" w:rsidR="001E4EF0" w:rsidRDefault="001E4EF0">
            <w:pPr>
              <w:numPr>
                <w:ilvl w:val="255"/>
                <w:numId w:val="0"/>
              </w:numPr>
              <w:snapToGrid w:val="0"/>
              <w:spacing w:before="60" w:after="60" w:line="260" w:lineRule="auto"/>
              <w:rPr>
                <w:rFonts w:ascii="Times New Roman" w:hAnsi="Times New Roman" w:cs="Times New Roman"/>
                <w:sz w:val="2"/>
                <w:szCs w:val="2"/>
              </w:rPr>
            </w:pPr>
          </w:p>
        </w:tc>
      </w:tr>
    </w:tbl>
    <w:p w14:paraId="0FAFE620" w14:textId="14EBE539" w:rsidR="001E4EF0" w:rsidRDefault="006621A5" w:rsidP="005B560A">
      <w:pPr>
        <w:spacing w:before="120"/>
        <w:jc w:val="both"/>
        <w:rPr>
          <w:rFonts w:ascii="Times New Roman" w:hAnsi="Times New Roman" w:cs="Times New Roman"/>
          <w:sz w:val="20"/>
          <w:szCs w:val="20"/>
        </w:rPr>
      </w:pPr>
      <w:r>
        <w:rPr>
          <w:rFonts w:ascii="Times New Roman" w:hAnsi="Times New Roman" w:cs="Times New Roman"/>
          <w:sz w:val="20"/>
          <w:szCs w:val="20"/>
        </w:rPr>
        <w:t>According to t</w:t>
      </w:r>
      <w:r>
        <w:rPr>
          <w:rFonts w:ascii="Times New Roman" w:hAnsi="Times New Roman" w:cs="Times New Roman" w:hint="eastAsia"/>
          <w:sz w:val="20"/>
          <w:szCs w:val="20"/>
        </w:rPr>
        <w:t>he</w:t>
      </w:r>
      <w:r>
        <w:rPr>
          <w:rFonts w:ascii="Times New Roman" w:hAnsi="Times New Roman" w:cs="Times New Roman"/>
          <w:sz w:val="20"/>
          <w:szCs w:val="20"/>
        </w:rPr>
        <w:t xml:space="preserve"> Alt-1-1, </w:t>
      </w:r>
      <w:r w:rsidR="007E6570">
        <w:rPr>
          <w:rFonts w:ascii="Times New Roman" w:hAnsi="Times New Roman" w:cs="Times New Roman"/>
          <w:sz w:val="20"/>
          <w:szCs w:val="20"/>
        </w:rPr>
        <w:t xml:space="preserve">before concluding on the bit-field for indication, </w:t>
      </w:r>
      <w:r>
        <w:rPr>
          <w:rFonts w:ascii="Times New Roman" w:hAnsi="Times New Roman" w:cs="Times New Roman"/>
          <w:sz w:val="20"/>
          <w:szCs w:val="20"/>
        </w:rPr>
        <w:t xml:space="preserve">to enable </w:t>
      </w:r>
      <w:r w:rsidR="00FF3799">
        <w:rPr>
          <w:rFonts w:ascii="Times New Roman" w:hAnsi="Times New Roman" w:cs="Times New Roman"/>
          <w:sz w:val="20"/>
          <w:szCs w:val="20"/>
        </w:rPr>
        <w:t>this feature</w:t>
      </w:r>
      <w:r>
        <w:rPr>
          <w:rFonts w:ascii="Times New Roman" w:hAnsi="Times New Roman" w:cs="Times New Roman"/>
          <w:sz w:val="20"/>
          <w:szCs w:val="20"/>
        </w:rPr>
        <w:t xml:space="preserve"> in DCI, additional </w:t>
      </w:r>
      <w:r w:rsidR="007E6570">
        <w:rPr>
          <w:rFonts w:ascii="Times New Roman" w:hAnsi="Times New Roman" w:cs="Times New Roman"/>
          <w:sz w:val="20"/>
          <w:szCs w:val="20"/>
        </w:rPr>
        <w:t xml:space="preserve">criteria or condition should be specified to inform UE whether </w:t>
      </w:r>
      <w:r w:rsidR="00B603FA">
        <w:rPr>
          <w:rFonts w:ascii="Times New Roman" w:hAnsi="Times New Roman" w:cs="Times New Roman" w:hint="eastAsia"/>
          <w:sz w:val="20"/>
          <w:szCs w:val="20"/>
        </w:rPr>
        <w:t xml:space="preserve">it is necessary to interpret a specific bit field as a repetition number indication to avoid misunderstandings about the purpose of the specific bit field on the UE side. For example, </w:t>
      </w:r>
      <w:r w:rsidR="00FB0FF0">
        <w:rPr>
          <w:rFonts w:ascii="Times New Roman" w:hAnsi="Times New Roman" w:cs="Times New Roman"/>
          <w:sz w:val="20"/>
          <w:szCs w:val="20"/>
        </w:rPr>
        <w:t>the indication via DCI may only occur when multiple repetition numbers are indicate</w:t>
      </w:r>
      <w:r w:rsidR="00FB0FF0">
        <w:rPr>
          <w:rFonts w:ascii="Times New Roman" w:hAnsi="Times New Roman" w:cs="Times New Roman" w:hint="eastAsia"/>
          <w:sz w:val="20"/>
          <w:szCs w:val="20"/>
        </w:rPr>
        <w:t>d</w:t>
      </w:r>
      <w:r w:rsidR="00FB0FF0">
        <w:rPr>
          <w:rFonts w:ascii="Times New Roman" w:hAnsi="Times New Roman" w:cs="Times New Roman"/>
          <w:sz w:val="20"/>
          <w:szCs w:val="20"/>
        </w:rPr>
        <w:t xml:space="preserve">. Meanwhile, additional report of capability or request from UE side should also be part of the premise to let the </w:t>
      </w:r>
      <w:r w:rsidR="00B603FA">
        <w:rPr>
          <w:rFonts w:ascii="Times New Roman" w:hAnsi="Times New Roman" w:cs="Times New Roman" w:hint="eastAsia"/>
          <w:sz w:val="20"/>
          <w:szCs w:val="20"/>
        </w:rPr>
        <w:t xml:space="preserve">UE to </w:t>
      </w:r>
      <w:r w:rsidR="00FB0FF0">
        <w:rPr>
          <w:rFonts w:ascii="Times New Roman" w:hAnsi="Times New Roman" w:cs="Times New Roman"/>
          <w:sz w:val="20"/>
          <w:szCs w:val="20"/>
        </w:rPr>
        <w:t>re-</w:t>
      </w:r>
      <w:r w:rsidR="00B603FA">
        <w:rPr>
          <w:rFonts w:ascii="Times New Roman" w:hAnsi="Times New Roman" w:cs="Times New Roman" w:hint="eastAsia"/>
          <w:sz w:val="20"/>
          <w:szCs w:val="20"/>
        </w:rPr>
        <w:t xml:space="preserve">interpret a specific bit field in the DCI scheduling Msg4 PDSCH. </w:t>
      </w:r>
    </w:p>
    <w:p w14:paraId="461ACB86" w14:textId="0B60B791" w:rsidR="001E4EF0" w:rsidRDefault="0096782C">
      <w:pPr>
        <w:jc w:val="both"/>
        <w:rPr>
          <w:rFonts w:ascii="Times New Roman" w:hAnsi="Times New Roman" w:cs="Times New Roman"/>
          <w:sz w:val="20"/>
          <w:szCs w:val="20"/>
        </w:rPr>
      </w:pPr>
      <w:r>
        <w:rPr>
          <w:rFonts w:ascii="Times New Roman" w:hAnsi="Times New Roman" w:cs="Times New Roman"/>
          <w:sz w:val="20"/>
          <w:szCs w:val="20"/>
        </w:rPr>
        <w:t>Regarding the down-selection among different alternatives,</w:t>
      </w:r>
      <w:r w:rsidR="00B603FA">
        <w:rPr>
          <w:rFonts w:ascii="Times New Roman" w:hAnsi="Times New Roman" w:cs="Times New Roman" w:hint="eastAsia"/>
          <w:sz w:val="20"/>
          <w:szCs w:val="20"/>
        </w:rPr>
        <w:t xml:space="preserve"> considering that DL may have better channel condition, Alt 1-1a may limit the selection of PDSCH MCS</w:t>
      </w:r>
      <w:r w:rsidR="00B603FA">
        <w:rPr>
          <w:rFonts w:ascii="Times New Roman" w:hAnsi="Times New Roman" w:cs="Times New Roman"/>
          <w:sz w:val="20"/>
          <w:szCs w:val="20"/>
        </w:rPr>
        <w:t xml:space="preserve">, </w:t>
      </w:r>
      <w:r w:rsidR="00B603FA">
        <w:rPr>
          <w:rFonts w:ascii="Times New Roman" w:hAnsi="Times New Roman" w:cs="Times New Roman" w:hint="eastAsia"/>
          <w:sz w:val="20"/>
          <w:szCs w:val="20"/>
        </w:rPr>
        <w:t>i.e., in some scenarios, higher MCS may be used (e.g. with high</w:t>
      </w:r>
      <w:r>
        <w:rPr>
          <w:rFonts w:ascii="Times New Roman" w:hAnsi="Times New Roman" w:cs="Times New Roman"/>
          <w:sz w:val="20"/>
          <w:szCs w:val="20"/>
        </w:rPr>
        <w:t>er</w:t>
      </w:r>
      <w:r w:rsidR="00B603FA">
        <w:rPr>
          <w:rFonts w:ascii="Times New Roman" w:hAnsi="Times New Roman" w:cs="Times New Roman" w:hint="eastAsia"/>
          <w:sz w:val="20"/>
          <w:szCs w:val="20"/>
        </w:rPr>
        <w:t xml:space="preserve"> satellite power). Alt 1-1b may impact the</w:t>
      </w:r>
      <w:r w:rsidR="0099046B">
        <w:rPr>
          <w:rFonts w:ascii="Times New Roman" w:hAnsi="Times New Roman" w:cs="Times New Roman"/>
          <w:sz w:val="20"/>
          <w:szCs w:val="20"/>
        </w:rPr>
        <w:t xml:space="preserve"> </w:t>
      </w:r>
      <w:r w:rsidR="00B603FA">
        <w:rPr>
          <w:rFonts w:ascii="Times New Roman" w:hAnsi="Times New Roman" w:cs="Times New Roman" w:hint="eastAsia"/>
          <w:sz w:val="20"/>
          <w:szCs w:val="20"/>
        </w:rPr>
        <w:t>scheduling flexibility of PUCCH frequency resource, while introducing a new common PUCCH resource table with repetition factor per PUCCH resource will result in less flexibility and more specification impact. Alt 1-1c may impact the flexibility for HPN configuration and cause stalling if the RTT is large.</w:t>
      </w:r>
      <w:r w:rsidR="00B603FA">
        <w:rPr>
          <w:rFonts w:ascii="Times New Roman" w:hAnsi="Times New Roman" w:cs="Times New Roman"/>
          <w:sz w:val="20"/>
          <w:szCs w:val="20"/>
        </w:rPr>
        <w:t xml:space="preserve"> </w:t>
      </w:r>
      <w:r w:rsidR="00B603FA">
        <w:rPr>
          <w:rFonts w:ascii="Times New Roman" w:hAnsi="Times New Roman" w:cs="Times New Roman" w:hint="eastAsia"/>
          <w:sz w:val="20"/>
          <w:szCs w:val="20"/>
        </w:rPr>
        <w:t xml:space="preserve">Alt 1-1e may constrain UL scheduling and affect scheduling flexibility because candidate </w:t>
      </w:r>
      <w:r w:rsidR="00B603FA">
        <w:rPr>
          <w:rFonts w:ascii="Times New Roman" w:hAnsi="Times New Roman" w:cs="Times New Roman"/>
          <w:sz w:val="20"/>
          <w:szCs w:val="20"/>
        </w:rPr>
        <w:t>“</w:t>
      </w:r>
      <w:r w:rsidR="00B603FA">
        <w:rPr>
          <w:rFonts w:ascii="Times New Roman" w:hAnsi="Times New Roman" w:cs="Times New Roman" w:hint="eastAsia"/>
          <w:sz w:val="20"/>
          <w:szCs w:val="20"/>
        </w:rPr>
        <w:t>K1</w:t>
      </w:r>
      <w:r w:rsidR="00B603FA">
        <w:rPr>
          <w:rFonts w:ascii="Times New Roman" w:hAnsi="Times New Roman" w:cs="Times New Roman"/>
          <w:sz w:val="20"/>
          <w:szCs w:val="20"/>
        </w:rPr>
        <w:t>”</w:t>
      </w:r>
      <w:r w:rsidR="00B603FA">
        <w:rPr>
          <w:rFonts w:ascii="Times New Roman" w:hAnsi="Times New Roman" w:cs="Times New Roman" w:hint="eastAsia"/>
          <w:sz w:val="20"/>
          <w:szCs w:val="20"/>
        </w:rPr>
        <w:t xml:space="preserve"> values are strictly mapped to each the repetition factor. Therefore, we prefer Alt 1-1d</w:t>
      </w:r>
      <w:r w:rsidR="00B603FA">
        <w:rPr>
          <w:rFonts w:ascii="Times New Roman" w:hAnsi="Times New Roman" w:cs="Times New Roman"/>
          <w:sz w:val="20"/>
          <w:szCs w:val="20"/>
        </w:rPr>
        <w:t>, which has no impact on scheduling flexibility since DAI field is reserved currently</w:t>
      </w:r>
      <w:r w:rsidR="00B603FA">
        <w:rPr>
          <w:rFonts w:ascii="Times New Roman" w:hAnsi="Times New Roman" w:cs="Times New Roman" w:hint="eastAsia"/>
          <w:sz w:val="20"/>
          <w:szCs w:val="20"/>
        </w:rPr>
        <w:t xml:space="preserve">. </w:t>
      </w:r>
    </w:p>
    <w:p w14:paraId="0CFEA847" w14:textId="7160B56F" w:rsidR="001E4EF0" w:rsidRPr="002C6631" w:rsidRDefault="00B603FA">
      <w:pPr>
        <w:jc w:val="both"/>
        <w:rPr>
          <w:rStyle w:val="af4"/>
        </w:rPr>
      </w:pPr>
      <w:r w:rsidRPr="002C6631">
        <w:rPr>
          <w:rFonts w:ascii="Times New Roman" w:hAnsi="Times New Roman" w:cs="Times New Roman" w:hint="eastAsia"/>
          <w:b/>
          <w:bCs/>
          <w:i/>
          <w:iCs/>
          <w:sz w:val="20"/>
          <w:szCs w:val="20"/>
        </w:rPr>
        <w:t xml:space="preserve">Proposal </w:t>
      </w:r>
      <w:r w:rsidR="002C6631" w:rsidRPr="002C6631">
        <w:rPr>
          <w:rFonts w:ascii="Times New Roman" w:hAnsi="Times New Roman" w:cs="Times New Roman"/>
          <w:b/>
          <w:bCs/>
          <w:i/>
          <w:iCs/>
          <w:sz w:val="20"/>
          <w:szCs w:val="20"/>
        </w:rPr>
        <w:t>5</w:t>
      </w:r>
      <w:r w:rsidRPr="002C6631">
        <w:rPr>
          <w:rFonts w:ascii="Times New Roman" w:hAnsi="Times New Roman" w:cs="Times New Roman" w:hint="eastAsia"/>
          <w:b/>
          <w:bCs/>
          <w:i/>
          <w:iCs/>
          <w:sz w:val="20"/>
          <w:szCs w:val="20"/>
        </w:rPr>
        <w:t xml:space="preserve">: </w:t>
      </w:r>
      <w:r w:rsidRPr="002C6631">
        <w:rPr>
          <w:rFonts w:ascii="Times New Roman" w:hAnsi="Times New Roman" w:cs="Times New Roman" w:hint="eastAsia"/>
          <w:i/>
          <w:iCs/>
          <w:sz w:val="20"/>
          <w:szCs w:val="20"/>
        </w:rPr>
        <w:t xml:space="preserve">When multiple factors are configured via SIB and the capability indication is </w:t>
      </w:r>
      <w:r w:rsidRPr="002C6631">
        <w:rPr>
          <w:rFonts w:ascii="Times New Roman" w:hAnsi="Times New Roman" w:cs="Times New Roman"/>
          <w:i/>
          <w:iCs/>
          <w:sz w:val="20"/>
          <w:szCs w:val="20"/>
        </w:rPr>
        <w:t>sent</w:t>
      </w:r>
      <w:r w:rsidRPr="002C6631">
        <w:rPr>
          <w:rFonts w:ascii="Times New Roman" w:hAnsi="Times New Roman" w:cs="Times New Roman" w:hint="eastAsia"/>
          <w:i/>
          <w:iCs/>
          <w:sz w:val="20"/>
          <w:szCs w:val="20"/>
        </w:rPr>
        <w:t xml:space="preserve"> by a UE, the UE </w:t>
      </w:r>
      <w:r w:rsidR="00F30A0C">
        <w:rPr>
          <w:rFonts w:ascii="Times New Roman" w:hAnsi="Times New Roman" w:cs="Times New Roman"/>
          <w:i/>
          <w:iCs/>
          <w:sz w:val="20"/>
          <w:szCs w:val="20"/>
        </w:rPr>
        <w:t>will</w:t>
      </w:r>
      <w:r w:rsidR="00F30A0C" w:rsidRPr="002C6631">
        <w:rPr>
          <w:rFonts w:ascii="Times New Roman" w:hAnsi="Times New Roman" w:cs="Times New Roman" w:hint="eastAsia"/>
          <w:i/>
          <w:iCs/>
          <w:sz w:val="20"/>
          <w:szCs w:val="20"/>
        </w:rPr>
        <w:t xml:space="preserve"> </w:t>
      </w:r>
      <w:r w:rsidR="00350DB8">
        <w:rPr>
          <w:rFonts w:ascii="Times New Roman" w:hAnsi="Times New Roman" w:cs="Times New Roman"/>
          <w:i/>
          <w:iCs/>
          <w:sz w:val="20"/>
          <w:szCs w:val="20"/>
        </w:rPr>
        <w:t>re-</w:t>
      </w:r>
      <w:r w:rsidRPr="002C6631">
        <w:rPr>
          <w:rFonts w:ascii="Times New Roman" w:hAnsi="Times New Roman" w:cs="Times New Roman" w:hint="eastAsia"/>
          <w:i/>
          <w:iCs/>
          <w:sz w:val="20"/>
          <w:szCs w:val="20"/>
        </w:rPr>
        <w:t>interpret the existing field in the DCI scheduling Msg4 PDSCH as repetition number indication</w:t>
      </w:r>
      <w:r w:rsidR="00441E8A">
        <w:rPr>
          <w:rFonts w:ascii="Times New Roman" w:hAnsi="Times New Roman" w:cs="Times New Roman"/>
          <w:i/>
          <w:iCs/>
          <w:sz w:val="20"/>
          <w:szCs w:val="20"/>
        </w:rPr>
        <w:t>.</w:t>
      </w:r>
    </w:p>
    <w:p w14:paraId="77E006F3" w14:textId="4D6F472C" w:rsidR="001E4EF0" w:rsidRDefault="00B603FA">
      <w:pPr>
        <w:jc w:val="both"/>
        <w:rPr>
          <w:rStyle w:val="af4"/>
        </w:rPr>
      </w:pPr>
      <w:r w:rsidRPr="002C6631">
        <w:rPr>
          <w:rFonts w:ascii="Times New Roman" w:hAnsi="Times New Roman" w:cs="Times New Roman" w:hint="eastAsia"/>
          <w:b/>
          <w:bCs/>
          <w:i/>
          <w:iCs/>
          <w:sz w:val="20"/>
          <w:szCs w:val="20"/>
        </w:rPr>
        <w:t xml:space="preserve">Proposal </w:t>
      </w:r>
      <w:r w:rsidR="002C6631" w:rsidRPr="002C6631">
        <w:rPr>
          <w:rFonts w:ascii="Times New Roman" w:hAnsi="Times New Roman" w:cs="Times New Roman"/>
          <w:b/>
          <w:bCs/>
          <w:i/>
          <w:iCs/>
          <w:sz w:val="20"/>
          <w:szCs w:val="20"/>
        </w:rPr>
        <w:t>6</w:t>
      </w:r>
      <w:r w:rsidRPr="002C6631">
        <w:rPr>
          <w:rFonts w:ascii="Times New Roman" w:hAnsi="Times New Roman" w:cs="Times New Roman" w:hint="eastAsia"/>
          <w:b/>
          <w:bCs/>
          <w:i/>
          <w:iCs/>
          <w:sz w:val="20"/>
          <w:szCs w:val="20"/>
        </w:rPr>
        <w:t xml:space="preserve">: </w:t>
      </w:r>
      <w:r w:rsidR="0044101B">
        <w:rPr>
          <w:rFonts w:ascii="Times New Roman" w:hAnsi="Times New Roman" w:cs="Times New Roman"/>
          <w:i/>
          <w:iCs/>
          <w:sz w:val="20"/>
          <w:szCs w:val="20"/>
        </w:rPr>
        <w:t>T</w:t>
      </w:r>
      <w:r w:rsidRPr="002C6631">
        <w:rPr>
          <w:rFonts w:ascii="Times New Roman" w:hAnsi="Times New Roman" w:cs="Times New Roman" w:hint="eastAsia"/>
          <w:i/>
          <w:iCs/>
          <w:sz w:val="20"/>
          <w:szCs w:val="20"/>
        </w:rPr>
        <w:t>he DAI field in the DCI scheduling Msg4 PDSCH should be specified</w:t>
      </w:r>
      <w:r w:rsidR="0044101B">
        <w:rPr>
          <w:rFonts w:ascii="Times New Roman" w:hAnsi="Times New Roman" w:cs="Times New Roman"/>
          <w:i/>
          <w:iCs/>
          <w:sz w:val="20"/>
          <w:szCs w:val="20"/>
        </w:rPr>
        <w:t xml:space="preserve"> </w:t>
      </w:r>
      <w:r w:rsidR="00C6194C">
        <w:rPr>
          <w:rFonts w:ascii="Times New Roman" w:hAnsi="Times New Roman" w:cs="Times New Roman"/>
          <w:i/>
          <w:iCs/>
          <w:sz w:val="20"/>
          <w:szCs w:val="20"/>
        </w:rPr>
        <w:t>for the</w:t>
      </w:r>
      <w:r w:rsidR="0044101B" w:rsidRPr="002C6631">
        <w:rPr>
          <w:rFonts w:ascii="Times New Roman" w:hAnsi="Times New Roman" w:cs="Times New Roman" w:hint="eastAsia"/>
          <w:i/>
          <w:iCs/>
          <w:sz w:val="20"/>
          <w:szCs w:val="20"/>
        </w:rPr>
        <w:t xml:space="preserve"> repetition number indication</w:t>
      </w:r>
      <w:r w:rsidRPr="002C6631">
        <w:rPr>
          <w:rFonts w:ascii="Times New Roman" w:hAnsi="Times New Roman" w:cs="Times New Roman" w:hint="eastAsia"/>
          <w:i/>
          <w:iCs/>
          <w:sz w:val="20"/>
          <w:szCs w:val="20"/>
        </w:rPr>
        <w:t>.</w:t>
      </w:r>
    </w:p>
    <w:p w14:paraId="68779901" w14:textId="77777777" w:rsidR="001E4EF0" w:rsidRDefault="00B603FA">
      <w:pPr>
        <w:pStyle w:val="3"/>
        <w:numPr>
          <w:ilvl w:val="2"/>
          <w:numId w:val="3"/>
        </w:numPr>
        <w:spacing w:line="240" w:lineRule="auto"/>
        <w:ind w:left="709" w:hanging="709"/>
        <w:rPr>
          <w:rFonts w:ascii="Arial" w:eastAsia="黑体" w:hAnsi="Arial"/>
          <w:b/>
          <w:bCs/>
          <w:sz w:val="20"/>
          <w:szCs w:val="20"/>
          <w:lang w:eastAsia="zh-CN"/>
        </w:rPr>
      </w:pPr>
      <w:r>
        <w:rPr>
          <w:rFonts w:ascii="Arial" w:eastAsia="黑体" w:hAnsi="Arial" w:hint="eastAsia"/>
          <w:b/>
          <w:bCs/>
          <w:sz w:val="20"/>
          <w:szCs w:val="20"/>
          <w:lang w:eastAsia="zh-CN"/>
        </w:rPr>
        <w:t>Validity of PUCCH repetition</w:t>
      </w:r>
    </w:p>
    <w:p w14:paraId="4F359799" w14:textId="77777777" w:rsidR="001E4EF0" w:rsidRDefault="00B603FA">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In RAN1 #112bis-e</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_Ref2933 \r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[1]</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it was discussed how to configure common PUCCH before dedicated PUCCH resource configuration but no agreement was agreed. </w:t>
      </w:r>
    </w:p>
    <w:tbl>
      <w:tblPr>
        <w:tblStyle w:val="af1"/>
        <w:tblW w:w="0" w:type="auto"/>
        <w:tblLook w:val="04A0" w:firstRow="1" w:lastRow="0" w:firstColumn="1" w:lastColumn="0" w:noHBand="0" w:noVBand="1"/>
      </w:tblPr>
      <w:tblGrid>
        <w:gridCol w:w="9350"/>
      </w:tblGrid>
      <w:tr w:rsidR="001E4EF0" w14:paraId="0B949E48" w14:textId="77777777">
        <w:tc>
          <w:tcPr>
            <w:tcW w:w="9576" w:type="dxa"/>
          </w:tcPr>
          <w:p w14:paraId="5605B96C" w14:textId="77777777" w:rsidR="001E4EF0" w:rsidRDefault="00B603FA">
            <w:pPr>
              <w:numPr>
                <w:ilvl w:val="255"/>
                <w:numId w:val="0"/>
              </w:numPr>
              <w:snapToGrid w:val="0"/>
              <w:spacing w:line="240" w:lineRule="auto"/>
              <w:rPr>
                <w:rFonts w:ascii="Times New Roman" w:hAnsi="Times New Roman" w:cs="Times New Roman"/>
                <w:b/>
                <w:sz w:val="20"/>
                <w:szCs w:val="20"/>
                <w:highlight w:val="yellow"/>
                <w:u w:val="single"/>
              </w:rPr>
            </w:pPr>
            <w:r>
              <w:rPr>
                <w:rFonts w:ascii="Times New Roman" w:hAnsi="Times New Roman" w:cs="Times New Roman"/>
                <w:b/>
                <w:sz w:val="20"/>
                <w:szCs w:val="20"/>
                <w:highlight w:val="yellow"/>
                <w:u w:val="single"/>
              </w:rPr>
              <w:t>Proposal 1-1_v3</w:t>
            </w:r>
          </w:p>
          <w:p w14:paraId="34A75334" w14:textId="77777777" w:rsidR="001E4EF0" w:rsidRDefault="00B603FA">
            <w:pPr>
              <w:numPr>
                <w:ilvl w:val="255"/>
                <w:numId w:val="0"/>
              </w:numPr>
              <w:snapToGrid w:val="0"/>
              <w:spacing w:line="240" w:lineRule="auto"/>
              <w:rPr>
                <w:rFonts w:ascii="Times New Roman" w:hAnsi="Times New Roman" w:cs="Times New Roman"/>
                <w:sz w:val="20"/>
                <w:szCs w:val="20"/>
              </w:rPr>
            </w:pPr>
            <w:r>
              <w:rPr>
                <w:rFonts w:ascii="Times New Roman" w:hAnsi="Times New Roman" w:cs="Times New Roman" w:hint="eastAsia"/>
                <w:sz w:val="20"/>
                <w:szCs w:val="20"/>
              </w:rPr>
              <w:t>PUCCH repetition discussed in R18 NR NTN coverage enhancement is supported for:</w:t>
            </w:r>
          </w:p>
          <w:p w14:paraId="122FCC1B" w14:textId="77777777" w:rsidR="001E4EF0" w:rsidRDefault="00B603FA">
            <w:pPr>
              <w:numPr>
                <w:ilvl w:val="0"/>
                <w:numId w:val="6"/>
              </w:numPr>
              <w:snapToGrid w:val="0"/>
              <w:spacing w:line="240" w:lineRule="auto"/>
              <w:rPr>
                <w:rFonts w:ascii="Times New Roman" w:hAnsi="Times New Roman" w:cs="Times New Roman"/>
                <w:sz w:val="20"/>
                <w:szCs w:val="20"/>
              </w:rPr>
            </w:pPr>
            <w:r>
              <w:rPr>
                <w:rFonts w:ascii="Times New Roman" w:hAnsi="Times New Roman" w:cs="Times New Roman" w:hint="eastAsia"/>
                <w:sz w:val="20"/>
                <w:szCs w:val="20"/>
              </w:rPr>
              <w:t>PUCCH transmission when dedicated PUCCH resource configuration is not provided.</w:t>
            </w:r>
          </w:p>
          <w:p w14:paraId="4EB5F5F5" w14:textId="77777777" w:rsidR="001E4EF0" w:rsidRDefault="00B603FA">
            <w:pPr>
              <w:numPr>
                <w:ilvl w:val="0"/>
                <w:numId w:val="7"/>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hint="eastAsia"/>
                <w:sz w:val="20"/>
                <w:szCs w:val="20"/>
              </w:rPr>
              <w:t>Note: the existing agreements and working assumptions for PUCCH for Msg4 HARQ-ACK are applied to any PUCCH transmission by using common PUCCH resource, except that it is FFS how to indicate determine repetition factor for PUCCH transmission scheduled by DCI format 1_0 and with CRC scrambled by C-RNTI, i.e.,</w:t>
            </w:r>
          </w:p>
          <w:p w14:paraId="35A9A327" w14:textId="77777777" w:rsidR="001E4EF0" w:rsidRDefault="00B603FA">
            <w:pPr>
              <w:numPr>
                <w:ilvl w:val="0"/>
                <w:numId w:val="9"/>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hint="eastAsia"/>
                <w:sz w:val="20"/>
                <w:szCs w:val="20"/>
              </w:rPr>
              <w:t>The same configuration of PUCCH repetition provided via SIB is applied to any PUCCH transmission by using common PUCCH.</w:t>
            </w:r>
          </w:p>
          <w:p w14:paraId="47E4DF44" w14:textId="77777777" w:rsidR="001E4EF0" w:rsidRDefault="00B603FA">
            <w:pPr>
              <w:numPr>
                <w:ilvl w:val="0"/>
                <w:numId w:val="9"/>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hint="eastAsia"/>
                <w:sz w:val="20"/>
                <w:szCs w:val="20"/>
              </w:rPr>
              <w:lastRenderedPageBreak/>
              <w:t>The same signaling of repetition request or capability report from UE is used for any PUCCH transmission by using common PUCCH.</w:t>
            </w:r>
          </w:p>
          <w:p w14:paraId="32561436" w14:textId="77777777" w:rsidR="001E4EF0" w:rsidRDefault="00B603FA">
            <w:pPr>
              <w:numPr>
                <w:ilvl w:val="0"/>
                <w:numId w:val="9"/>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hint="eastAsia"/>
                <w:sz w:val="20"/>
                <w:szCs w:val="20"/>
              </w:rPr>
              <w:t>The same frequency hopping mechanism is applied for any PUCCH transmission by using common PUCCH.</w:t>
            </w:r>
          </w:p>
          <w:p w14:paraId="2B5233A9" w14:textId="77777777" w:rsidR="001E4EF0" w:rsidRDefault="001E4EF0">
            <w:pPr>
              <w:numPr>
                <w:ilvl w:val="255"/>
                <w:numId w:val="0"/>
              </w:numPr>
              <w:snapToGrid w:val="0"/>
              <w:spacing w:before="60" w:after="60" w:line="260" w:lineRule="auto"/>
              <w:rPr>
                <w:rFonts w:ascii="Times New Roman" w:hAnsi="Times New Roman" w:cs="Times New Roman"/>
                <w:sz w:val="2"/>
                <w:szCs w:val="2"/>
              </w:rPr>
            </w:pPr>
          </w:p>
        </w:tc>
      </w:tr>
    </w:tbl>
    <w:p w14:paraId="24D32A05" w14:textId="7FF8FD97" w:rsidR="001E4EF0" w:rsidRDefault="00B603FA">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Timing of when dedicated PUCCH configuration is provided is up to NW implementation though Msg4 PDSCH can include the configuration. That is, whether to configure the dedicated PUCCH resource in the Msg4 PDSCH is determined by NW implementation. So even after the HARQ for Msg-4, there is still case that common PUCCH will be reused, e.g., the HARQ feedback for subsequent PDSCHs after successful random access will be carried by the common PUCCH. To solve this issue, </w:t>
      </w:r>
      <w:r>
        <w:rPr>
          <w:rFonts w:ascii="Times New Roman" w:hAnsi="Times New Roman" w:cs="Times New Roman"/>
          <w:sz w:val="20"/>
          <w:szCs w:val="20"/>
        </w:rPr>
        <w:t xml:space="preserve">PUCCH repetition should be supported for </w:t>
      </w:r>
      <w:r>
        <w:rPr>
          <w:rFonts w:ascii="Times New Roman" w:hAnsi="Times New Roman" w:cs="Times New Roman" w:hint="eastAsia"/>
          <w:sz w:val="20"/>
          <w:szCs w:val="20"/>
        </w:rPr>
        <w:t>PUCCH</w:t>
      </w:r>
      <w:r>
        <w:rPr>
          <w:rFonts w:ascii="Times New Roman" w:hAnsi="Times New Roman" w:cs="Times New Roman"/>
          <w:sz w:val="20"/>
          <w:szCs w:val="20"/>
        </w:rPr>
        <w:t xml:space="preserve"> transmission using common PUCCH resource when dedicated PUCCH resource configuration is not provided. Since dedicated PUCCH resources is not expected to be configured far after msg4, the channel condition for common PUCCH should be same as that for PUCCH for Msg4 HARQ-ACK. Therefore, </w:t>
      </w:r>
      <w:r>
        <w:rPr>
          <w:rFonts w:ascii="Times New Roman" w:hAnsi="Times New Roman" w:cs="Times New Roman" w:hint="eastAsia"/>
          <w:sz w:val="20"/>
          <w:szCs w:val="20"/>
        </w:rPr>
        <w:t>the straightforward way is to directly apply the indicated repetition factor for PUCCH for msg4 HARQ-ACK to other common PUCCH</w:t>
      </w:r>
      <w:r>
        <w:rPr>
          <w:rFonts w:ascii="Times New Roman" w:hAnsi="Times New Roman" w:cs="Times New Roman"/>
          <w:sz w:val="20"/>
          <w:szCs w:val="20"/>
        </w:rPr>
        <w:t>. With this method, there is no need to design additional dynamic indication method for common PUCCH, which reduces spec efforts and complexity of PDCCH monitoring.</w:t>
      </w:r>
    </w:p>
    <w:p w14:paraId="2A204CF7" w14:textId="3EF1F1AA" w:rsidR="001E4EF0" w:rsidRDefault="00B603FA">
      <w:pPr>
        <w:numPr>
          <w:ilvl w:val="3"/>
          <w:numId w:val="0"/>
        </w:numPr>
        <w:spacing w:after="0" w:line="240" w:lineRule="auto"/>
        <w:jc w:val="both"/>
        <w:rPr>
          <w:rFonts w:ascii="Times New Roman" w:hAnsi="Times New Roman" w:cs="Times New Roman"/>
          <w:i/>
          <w:iCs/>
          <w:sz w:val="20"/>
          <w:szCs w:val="20"/>
        </w:rPr>
      </w:pPr>
      <w:r w:rsidRPr="002C6631">
        <w:rPr>
          <w:rFonts w:ascii="Times New Roman" w:hAnsi="Times New Roman" w:cs="Times New Roman" w:hint="eastAsia"/>
          <w:b/>
          <w:bCs/>
          <w:i/>
          <w:iCs/>
          <w:sz w:val="20"/>
          <w:szCs w:val="20"/>
        </w:rPr>
        <w:t xml:space="preserve">Proposal </w:t>
      </w:r>
      <w:r w:rsidR="002C6631" w:rsidRPr="002C6631">
        <w:rPr>
          <w:rFonts w:ascii="Times New Roman" w:hAnsi="Times New Roman" w:cs="Times New Roman"/>
          <w:b/>
          <w:bCs/>
          <w:i/>
          <w:iCs/>
          <w:sz w:val="20"/>
          <w:szCs w:val="20"/>
        </w:rPr>
        <w:t>7</w:t>
      </w:r>
      <w:r w:rsidRPr="002C6631">
        <w:rPr>
          <w:rFonts w:ascii="Times New Roman" w:hAnsi="Times New Roman" w:cs="Times New Roman" w:hint="eastAsia"/>
          <w:b/>
          <w:bCs/>
          <w:i/>
          <w:iCs/>
          <w:sz w:val="20"/>
          <w:szCs w:val="20"/>
        </w:rPr>
        <w:t xml:space="preserve">: </w:t>
      </w:r>
      <w:r w:rsidRPr="002C6631">
        <w:rPr>
          <w:rFonts w:ascii="Times New Roman" w:hAnsi="Times New Roman" w:cs="Times New Roman" w:hint="eastAsia"/>
          <w:i/>
          <w:iCs/>
          <w:sz w:val="20"/>
          <w:szCs w:val="20"/>
        </w:rPr>
        <w:t xml:space="preserve">For PUCCH transmission when dedicated PUCCH resource configuration is not provided, the indicated repetition factor for PUCCH for msg4 HARQ-ACK </w:t>
      </w:r>
      <w:r w:rsidR="00DB6324">
        <w:rPr>
          <w:rFonts w:ascii="Times New Roman" w:hAnsi="Times New Roman" w:cs="Times New Roman"/>
          <w:i/>
          <w:iCs/>
          <w:sz w:val="20"/>
          <w:szCs w:val="20"/>
        </w:rPr>
        <w:t xml:space="preserve">will </w:t>
      </w:r>
      <w:r w:rsidR="00E65DC7">
        <w:rPr>
          <w:rFonts w:ascii="Times New Roman" w:hAnsi="Times New Roman" w:cs="Times New Roman"/>
          <w:i/>
          <w:iCs/>
          <w:sz w:val="20"/>
          <w:szCs w:val="20"/>
        </w:rPr>
        <w:t xml:space="preserve">be extended </w:t>
      </w:r>
      <w:r w:rsidRPr="002C6631">
        <w:rPr>
          <w:rFonts w:ascii="Times New Roman" w:hAnsi="Times New Roman" w:cs="Times New Roman" w:hint="eastAsia"/>
          <w:i/>
          <w:iCs/>
          <w:sz w:val="20"/>
          <w:szCs w:val="20"/>
        </w:rPr>
        <w:t>as repetition factor for other common PUCCH transmission.</w:t>
      </w:r>
    </w:p>
    <w:p w14:paraId="343574DA" w14:textId="77777777" w:rsidR="001E4EF0" w:rsidRDefault="00B603FA">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01D08FDD" w14:textId="77777777" w:rsidR="001E4EF0" w:rsidRDefault="00B603FA">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0AF9033A" w14:textId="77777777" w:rsidR="003C3C70" w:rsidRDefault="003C3C70" w:rsidP="003C3C70">
      <w:pPr>
        <w:numPr>
          <w:ilvl w:val="3"/>
          <w:numId w:val="0"/>
        </w:numPr>
        <w:adjustRightInd w:val="0"/>
        <w:snapToGrid w:val="0"/>
        <w:spacing w:beforeLines="50" w:before="120" w:after="120" w:line="240" w:lineRule="auto"/>
        <w:jc w:val="both"/>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UE</w:t>
      </w:r>
      <w:r>
        <w:rPr>
          <w:rFonts w:ascii="Times New Roman" w:hAnsi="Times New Roman" w:cs="Times New Roman"/>
          <w:bCs/>
          <w:i/>
          <w:iCs/>
          <w:sz w:val="20"/>
          <w:szCs w:val="20"/>
        </w:rPr>
        <w:t xml:space="preserve"> capability </w:t>
      </w:r>
      <w:r w:rsidRPr="00D4235C">
        <w:rPr>
          <w:rFonts w:ascii="Times New Roman" w:hAnsi="Times New Roman" w:cs="Times New Roman"/>
          <w:bCs/>
          <w:i/>
          <w:iCs/>
          <w:sz w:val="20"/>
          <w:szCs w:val="20"/>
        </w:rPr>
        <w:t>on whether to support actual TDW across pre-compensation segments</w:t>
      </w:r>
      <w:r>
        <w:rPr>
          <w:rFonts w:ascii="Times New Roman" w:hAnsi="Times New Roman" w:cs="Times New Roman" w:hint="eastAsia"/>
          <w:bCs/>
          <w:i/>
          <w:iCs/>
          <w:sz w:val="20"/>
          <w:szCs w:val="20"/>
        </w:rPr>
        <w:t xml:space="preserve"> should</w:t>
      </w:r>
      <w:r>
        <w:rPr>
          <w:rFonts w:ascii="Times New Roman" w:hAnsi="Times New Roman" w:cs="Times New Roman"/>
          <w:bCs/>
          <w:i/>
          <w:iCs/>
          <w:sz w:val="20"/>
          <w:szCs w:val="20"/>
        </w:rPr>
        <w:t xml:space="preserve"> be </w:t>
      </w:r>
      <w:r>
        <w:rPr>
          <w:rFonts w:ascii="Times New Roman" w:hAnsi="Times New Roman" w:cs="Times New Roman" w:hint="eastAsia"/>
          <w:bCs/>
          <w:i/>
          <w:iCs/>
          <w:sz w:val="20"/>
          <w:szCs w:val="20"/>
        </w:rPr>
        <w:t>reported</w:t>
      </w:r>
      <w:r>
        <w:rPr>
          <w:rFonts w:ascii="Times New Roman" w:hAnsi="Times New Roman" w:cs="Times New Roman"/>
          <w:bCs/>
          <w:i/>
          <w:iCs/>
          <w:sz w:val="20"/>
          <w:szCs w:val="20"/>
        </w:rPr>
        <w:t xml:space="preserve"> </w:t>
      </w:r>
      <w:r w:rsidRPr="00D4235C">
        <w:rPr>
          <w:rFonts w:ascii="Times New Roman" w:hAnsi="Times New Roman" w:cs="Times New Roman"/>
          <w:bCs/>
          <w:i/>
          <w:iCs/>
          <w:sz w:val="20"/>
          <w:szCs w:val="20"/>
        </w:rPr>
        <w:t>to achieve consensus with gNB</w:t>
      </w:r>
      <w:r>
        <w:rPr>
          <w:rFonts w:ascii="Times New Roman" w:hAnsi="Times New Roman" w:cs="Times New Roman"/>
          <w:bCs/>
          <w:i/>
          <w:iCs/>
          <w:sz w:val="20"/>
          <w:szCs w:val="20"/>
        </w:rPr>
        <w:t xml:space="preserve"> on how to determine actual TDW.</w:t>
      </w:r>
    </w:p>
    <w:p w14:paraId="0DFD7987" w14:textId="77777777" w:rsidR="003C3C70" w:rsidRDefault="003C3C70" w:rsidP="003C3C70">
      <w:pPr>
        <w:jc w:val="both"/>
        <w:rPr>
          <w:rFonts w:ascii="Times New Roman" w:hAnsi="Times New Roman" w:cs="Times New Roman"/>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i/>
          <w:sz w:val="20"/>
          <w:szCs w:val="20"/>
        </w:rPr>
        <w:t xml:space="preserve">For the gNB centric TDW determination, at least the following </w:t>
      </w:r>
      <w:r>
        <w:rPr>
          <w:rFonts w:ascii="Times New Roman" w:hAnsi="Times New Roman" w:cs="Times New Roman"/>
          <w:i/>
          <w:sz w:val="20"/>
          <w:szCs w:val="20"/>
        </w:rPr>
        <w:t>details should be considered</w:t>
      </w:r>
      <w:r>
        <w:rPr>
          <w:rFonts w:ascii="Times New Roman" w:hAnsi="Times New Roman" w:cs="Times New Roman" w:hint="eastAsia"/>
          <w:i/>
          <w:sz w:val="20"/>
          <w:szCs w:val="20"/>
        </w:rPr>
        <w:t>.</w:t>
      </w:r>
    </w:p>
    <w:p w14:paraId="502BDF06" w14:textId="77777777" w:rsidR="003C3C70" w:rsidRPr="003C3C70" w:rsidRDefault="003C3C70" w:rsidP="003C3C70">
      <w:pPr>
        <w:pStyle w:val="af5"/>
        <w:numPr>
          <w:ilvl w:val="0"/>
          <w:numId w:val="5"/>
        </w:numPr>
        <w:spacing w:beforeLines="50" w:before="120" w:after="120" w:line="240" w:lineRule="auto"/>
        <w:ind w:leftChars="0"/>
        <w:rPr>
          <w:rFonts w:ascii="Times New Roman" w:hAnsi="Times New Roman" w:cs="Times New Roman"/>
          <w:bCs/>
          <w:i/>
          <w:iCs/>
          <w:sz w:val="20"/>
          <w:szCs w:val="20"/>
        </w:rPr>
      </w:pPr>
      <w:r>
        <w:rPr>
          <w:rFonts w:ascii="Times New Roman" w:eastAsia="宋体" w:hAnsi="Times New Roman" w:cs="Times New Roman"/>
          <w:i/>
          <w:iCs/>
          <w:sz w:val="20"/>
          <w:szCs w:val="20"/>
        </w:rPr>
        <w:t>Nominal TDW is determined based on gNB configuration of nominal TDW size</w:t>
      </w:r>
    </w:p>
    <w:p w14:paraId="3E17BEC0" w14:textId="77777777" w:rsidR="003C3C70" w:rsidRPr="003C3C70" w:rsidRDefault="003C3C70" w:rsidP="003C3C70">
      <w:pPr>
        <w:pStyle w:val="af5"/>
        <w:numPr>
          <w:ilvl w:val="0"/>
          <w:numId w:val="5"/>
        </w:numPr>
        <w:spacing w:beforeLines="50" w:before="120" w:after="120" w:line="240" w:lineRule="auto"/>
        <w:ind w:leftChars="0"/>
        <w:rPr>
          <w:rFonts w:ascii="Times New Roman" w:hAnsi="Times New Roman" w:cs="Times New Roman"/>
          <w:bCs/>
          <w:i/>
          <w:iCs/>
          <w:sz w:val="20"/>
          <w:szCs w:val="20"/>
        </w:rPr>
      </w:pPr>
      <w:r>
        <w:rPr>
          <w:rFonts w:ascii="Times New Roman" w:eastAsia="宋体" w:hAnsi="Times New Roman" w:cs="Times New Roman"/>
          <w:i/>
          <w:iCs/>
          <w:sz w:val="20"/>
          <w:szCs w:val="20"/>
        </w:rPr>
        <w:t>Actual TDW is determined based on gNB indication of pre-compensation segment length and configuration of nominal TDW size subject to UE reported capability</w:t>
      </w:r>
    </w:p>
    <w:p w14:paraId="2FFD8FDC" w14:textId="130EBCFA" w:rsidR="003C3C70" w:rsidRDefault="003C3C70" w:rsidP="003C3C70">
      <w:pPr>
        <w:pStyle w:val="af5"/>
        <w:numPr>
          <w:ilvl w:val="1"/>
          <w:numId w:val="5"/>
        </w:numPr>
        <w:spacing w:beforeLines="50" w:before="120" w:after="120" w:line="240" w:lineRule="auto"/>
        <w:ind w:leftChars="0"/>
        <w:rPr>
          <w:rFonts w:ascii="Times New Roman" w:hAnsi="Times New Roman" w:cs="Times New Roman"/>
          <w:bCs/>
          <w:i/>
          <w:iCs/>
          <w:sz w:val="20"/>
          <w:szCs w:val="20"/>
        </w:rPr>
      </w:pPr>
      <w:r>
        <w:rPr>
          <w:rFonts w:ascii="Times New Roman" w:hAnsi="Times New Roman" w:cs="Times New Roman" w:hint="eastAsia"/>
          <w:bCs/>
          <w:i/>
          <w:iCs/>
          <w:sz w:val="20"/>
          <w:szCs w:val="20"/>
        </w:rPr>
        <w:t>F</w:t>
      </w:r>
      <w:r>
        <w:rPr>
          <w:rFonts w:ascii="Times New Roman" w:hAnsi="Times New Roman" w:cs="Times New Roman"/>
          <w:bCs/>
          <w:i/>
          <w:iCs/>
          <w:sz w:val="20"/>
          <w:szCs w:val="20"/>
        </w:rPr>
        <w:t xml:space="preserve">or UE without capability to support </w:t>
      </w:r>
      <w:r w:rsidRPr="003C3C70">
        <w:rPr>
          <w:rFonts w:ascii="Times New Roman" w:hAnsi="Times New Roman" w:cs="Times New Roman"/>
          <w:bCs/>
          <w:i/>
          <w:iCs/>
          <w:sz w:val="20"/>
          <w:szCs w:val="20"/>
        </w:rPr>
        <w:t>actual TDW across pre-compensation segments</w:t>
      </w:r>
      <w:r>
        <w:rPr>
          <w:rFonts w:ascii="Times New Roman" w:hAnsi="Times New Roman" w:cs="Times New Roman"/>
          <w:bCs/>
          <w:i/>
          <w:iCs/>
          <w:sz w:val="20"/>
          <w:szCs w:val="20"/>
        </w:rPr>
        <w:t xml:space="preserve">, actual TDW is determined </w:t>
      </w:r>
      <w:r w:rsidRPr="003C3C70">
        <w:rPr>
          <w:rFonts w:ascii="Times New Roman" w:hAnsi="Times New Roman" w:cs="Times New Roman"/>
          <w:bCs/>
          <w:i/>
          <w:iCs/>
          <w:sz w:val="20"/>
          <w:szCs w:val="20"/>
        </w:rPr>
        <w:t xml:space="preserve">based on </w:t>
      </w:r>
      <w:r w:rsidR="006A1E01" w:rsidRPr="006A1E01">
        <w:rPr>
          <w:rFonts w:ascii="Times New Roman" w:hAnsi="Times New Roman" w:cs="Times New Roman"/>
          <w:bCs/>
          <w:i/>
          <w:iCs/>
          <w:sz w:val="20"/>
          <w:szCs w:val="20"/>
        </w:rPr>
        <w:t>pre-compensation segment</w:t>
      </w:r>
      <w:r w:rsidRPr="003C3C70">
        <w:rPr>
          <w:rFonts w:ascii="Times New Roman" w:hAnsi="Times New Roman" w:cs="Times New Roman"/>
          <w:bCs/>
          <w:i/>
          <w:iCs/>
          <w:sz w:val="20"/>
          <w:szCs w:val="20"/>
        </w:rPr>
        <w:t>, e.g., by introducing a new event of pre-compensation update</w:t>
      </w:r>
      <w:r>
        <w:rPr>
          <w:rFonts w:ascii="Times New Roman" w:hAnsi="Times New Roman" w:cs="Times New Roman"/>
          <w:bCs/>
          <w:i/>
          <w:iCs/>
          <w:sz w:val="20"/>
          <w:szCs w:val="20"/>
        </w:rPr>
        <w:t>, in addition to nominal TDW</w:t>
      </w:r>
    </w:p>
    <w:p w14:paraId="2D84C909" w14:textId="77777777" w:rsidR="003C3C70" w:rsidRPr="003C3C70" w:rsidRDefault="003C3C70" w:rsidP="003C3C70">
      <w:pPr>
        <w:pStyle w:val="af5"/>
        <w:numPr>
          <w:ilvl w:val="1"/>
          <w:numId w:val="5"/>
        </w:numPr>
        <w:spacing w:beforeLines="50" w:before="120" w:after="120" w:line="240" w:lineRule="auto"/>
        <w:ind w:leftChars="0"/>
        <w:rPr>
          <w:rFonts w:ascii="Times New Roman" w:hAnsi="Times New Roman" w:cs="Times New Roman"/>
          <w:bCs/>
          <w:i/>
          <w:iCs/>
          <w:sz w:val="20"/>
          <w:szCs w:val="20"/>
        </w:rPr>
      </w:pPr>
      <w:r w:rsidRPr="003C3C70">
        <w:rPr>
          <w:rFonts w:ascii="Times New Roman" w:hAnsi="Times New Roman" w:cs="Times New Roman"/>
          <w:bCs/>
          <w:i/>
          <w:iCs/>
          <w:sz w:val="20"/>
          <w:szCs w:val="20"/>
        </w:rPr>
        <w:t>For UE with capability to support actual TDW across pre-compensation segments, actual TDW is determined based</w:t>
      </w:r>
      <w:r>
        <w:rPr>
          <w:rFonts w:ascii="Times New Roman" w:hAnsi="Times New Roman" w:cs="Times New Roman"/>
          <w:bCs/>
          <w:i/>
          <w:iCs/>
          <w:sz w:val="20"/>
          <w:szCs w:val="20"/>
        </w:rPr>
        <w:t xml:space="preserve"> on nominal TDW</w:t>
      </w:r>
    </w:p>
    <w:p w14:paraId="000C5191" w14:textId="77777777" w:rsidR="003C3C70" w:rsidRPr="003C3C70" w:rsidRDefault="003C3C70" w:rsidP="003C3C70">
      <w:pPr>
        <w:numPr>
          <w:ilvl w:val="3"/>
          <w:numId w:val="0"/>
        </w:numPr>
        <w:spacing w:line="240" w:lineRule="auto"/>
        <w:jc w:val="both"/>
        <w:rPr>
          <w:rFonts w:ascii="Times New Roman" w:hAnsi="Times New Roman" w:cs="Times New Roman"/>
          <w:i/>
          <w:iCs/>
          <w:sz w:val="20"/>
          <w:szCs w:val="20"/>
        </w:rPr>
      </w:pPr>
      <w:r w:rsidRPr="003C3C70">
        <w:rPr>
          <w:rFonts w:ascii="Times New Roman" w:hAnsi="Times New Roman" w:cs="Times New Roman"/>
          <w:b/>
          <w:bCs/>
          <w:i/>
          <w:iCs/>
          <w:sz w:val="20"/>
          <w:szCs w:val="20"/>
        </w:rPr>
        <w:t>Proposal 3:</w:t>
      </w:r>
      <w:r w:rsidRPr="003C3C70">
        <w:rPr>
          <w:rFonts w:ascii="Times New Roman" w:hAnsi="Times New Roman" w:cs="Times New Roman"/>
          <w:i/>
          <w:iCs/>
          <w:sz w:val="20"/>
          <w:szCs w:val="20"/>
        </w:rPr>
        <w:t xml:space="preserve"> The working assumption on introducing RSRP threshold should not be confirmed, since defining RSRP threshold to configure PUCCH repetition is redundant, which make the specification more complicated without </w:t>
      </w:r>
      <w:r w:rsidRPr="003C3C70">
        <w:rPr>
          <w:rFonts w:ascii="Times New Roman" w:hAnsi="Times New Roman" w:cs="Times New Roman" w:hint="eastAsia"/>
          <w:i/>
          <w:iCs/>
          <w:sz w:val="20"/>
          <w:szCs w:val="20"/>
        </w:rPr>
        <w:t>benefits</w:t>
      </w:r>
      <w:r w:rsidRPr="003C3C70">
        <w:rPr>
          <w:rFonts w:ascii="Times New Roman" w:hAnsi="Times New Roman" w:cs="Times New Roman"/>
          <w:i/>
          <w:iCs/>
          <w:sz w:val="20"/>
          <w:szCs w:val="20"/>
        </w:rPr>
        <w:t>.</w:t>
      </w:r>
    </w:p>
    <w:p w14:paraId="73A1DC6C" w14:textId="77777777" w:rsidR="003C3C70" w:rsidRDefault="003C3C70" w:rsidP="003C3C70">
      <w:pPr>
        <w:numPr>
          <w:ilvl w:val="3"/>
          <w:numId w:val="0"/>
        </w:numPr>
        <w:spacing w:line="240" w:lineRule="auto"/>
        <w:jc w:val="both"/>
        <w:rPr>
          <w:rFonts w:ascii="Times New Roman" w:hAnsi="Times New Roman" w:cs="Times New Roman"/>
          <w:i/>
          <w:iCs/>
          <w:sz w:val="20"/>
          <w:szCs w:val="20"/>
        </w:rPr>
      </w:pPr>
      <w:r w:rsidRPr="003C3C70">
        <w:rPr>
          <w:rFonts w:ascii="Times New Roman" w:hAnsi="Times New Roman" w:cs="Times New Roman"/>
          <w:b/>
          <w:bCs/>
          <w:i/>
          <w:iCs/>
          <w:sz w:val="20"/>
          <w:szCs w:val="20"/>
        </w:rPr>
        <w:t>Proposal 4:</w:t>
      </w:r>
      <w:r w:rsidRPr="003C3C70">
        <w:rPr>
          <w:rFonts w:ascii="Times New Roman" w:hAnsi="Times New Roman" w:cs="Times New Roman"/>
          <w:i/>
          <w:iCs/>
          <w:sz w:val="20"/>
          <w:szCs w:val="20"/>
        </w:rPr>
        <w:t xml:space="preserve"> For PUCCH repetition for Msg4 HARQ-ACK, UE capable of PUCCH repetition reports the capability of PUCCH repetition for Msg4 HARQ-ACK regardless of whether the threshold is configured or not.</w:t>
      </w:r>
    </w:p>
    <w:p w14:paraId="45241377" w14:textId="77777777" w:rsidR="00441E8A" w:rsidRPr="002C6631" w:rsidRDefault="00441E8A" w:rsidP="00441E8A">
      <w:pPr>
        <w:jc w:val="both"/>
        <w:rPr>
          <w:rStyle w:val="af4"/>
        </w:rPr>
      </w:pPr>
      <w:r w:rsidRPr="002C6631">
        <w:rPr>
          <w:rFonts w:ascii="Times New Roman" w:hAnsi="Times New Roman" w:cs="Times New Roman" w:hint="eastAsia"/>
          <w:b/>
          <w:bCs/>
          <w:i/>
          <w:iCs/>
          <w:sz w:val="20"/>
          <w:szCs w:val="20"/>
        </w:rPr>
        <w:t xml:space="preserve">Proposal </w:t>
      </w:r>
      <w:r w:rsidRPr="002C6631">
        <w:rPr>
          <w:rFonts w:ascii="Times New Roman" w:hAnsi="Times New Roman" w:cs="Times New Roman"/>
          <w:b/>
          <w:bCs/>
          <w:i/>
          <w:iCs/>
          <w:sz w:val="20"/>
          <w:szCs w:val="20"/>
        </w:rPr>
        <w:t>5</w:t>
      </w:r>
      <w:r w:rsidRPr="002C6631">
        <w:rPr>
          <w:rFonts w:ascii="Times New Roman" w:hAnsi="Times New Roman" w:cs="Times New Roman" w:hint="eastAsia"/>
          <w:b/>
          <w:bCs/>
          <w:i/>
          <w:iCs/>
          <w:sz w:val="20"/>
          <w:szCs w:val="20"/>
        </w:rPr>
        <w:t xml:space="preserve">: </w:t>
      </w:r>
      <w:r w:rsidRPr="002C6631">
        <w:rPr>
          <w:rFonts w:ascii="Times New Roman" w:hAnsi="Times New Roman" w:cs="Times New Roman" w:hint="eastAsia"/>
          <w:i/>
          <w:iCs/>
          <w:sz w:val="20"/>
          <w:szCs w:val="20"/>
        </w:rPr>
        <w:t xml:space="preserve">When multiple factors are configured via SIB and the capability indication is </w:t>
      </w:r>
      <w:r w:rsidRPr="002C6631">
        <w:rPr>
          <w:rFonts w:ascii="Times New Roman" w:hAnsi="Times New Roman" w:cs="Times New Roman"/>
          <w:i/>
          <w:iCs/>
          <w:sz w:val="20"/>
          <w:szCs w:val="20"/>
        </w:rPr>
        <w:t>sent</w:t>
      </w:r>
      <w:r w:rsidRPr="002C6631">
        <w:rPr>
          <w:rFonts w:ascii="Times New Roman" w:hAnsi="Times New Roman" w:cs="Times New Roman" w:hint="eastAsia"/>
          <w:i/>
          <w:iCs/>
          <w:sz w:val="20"/>
          <w:szCs w:val="20"/>
        </w:rPr>
        <w:t xml:space="preserve"> by a UE, the UE </w:t>
      </w:r>
      <w:r>
        <w:rPr>
          <w:rFonts w:ascii="Times New Roman" w:hAnsi="Times New Roman" w:cs="Times New Roman"/>
          <w:i/>
          <w:iCs/>
          <w:sz w:val="20"/>
          <w:szCs w:val="20"/>
        </w:rPr>
        <w:t>will</w:t>
      </w:r>
      <w:r w:rsidRPr="002C6631">
        <w:rPr>
          <w:rFonts w:ascii="Times New Roman" w:hAnsi="Times New Roman" w:cs="Times New Roman" w:hint="eastAsia"/>
          <w:i/>
          <w:iCs/>
          <w:sz w:val="20"/>
          <w:szCs w:val="20"/>
        </w:rPr>
        <w:t xml:space="preserve"> </w:t>
      </w:r>
      <w:r>
        <w:rPr>
          <w:rFonts w:ascii="Times New Roman" w:hAnsi="Times New Roman" w:cs="Times New Roman"/>
          <w:i/>
          <w:iCs/>
          <w:sz w:val="20"/>
          <w:szCs w:val="20"/>
        </w:rPr>
        <w:t>re-</w:t>
      </w:r>
      <w:r w:rsidRPr="002C6631">
        <w:rPr>
          <w:rFonts w:ascii="Times New Roman" w:hAnsi="Times New Roman" w:cs="Times New Roman" w:hint="eastAsia"/>
          <w:i/>
          <w:iCs/>
          <w:sz w:val="20"/>
          <w:szCs w:val="20"/>
        </w:rPr>
        <w:t>interpret the existing field in the DCI scheduling Msg4 PDSCH as repetition number indication</w:t>
      </w:r>
      <w:r>
        <w:rPr>
          <w:rFonts w:ascii="Times New Roman" w:hAnsi="Times New Roman" w:cs="Times New Roman"/>
          <w:i/>
          <w:iCs/>
          <w:sz w:val="20"/>
          <w:szCs w:val="20"/>
        </w:rPr>
        <w:t>.</w:t>
      </w:r>
    </w:p>
    <w:p w14:paraId="0A81CD2F" w14:textId="77777777" w:rsidR="00C6194C" w:rsidRDefault="00C6194C" w:rsidP="00C6194C">
      <w:pPr>
        <w:jc w:val="both"/>
        <w:rPr>
          <w:rStyle w:val="af4"/>
        </w:rPr>
      </w:pPr>
      <w:r w:rsidRPr="002C6631">
        <w:rPr>
          <w:rFonts w:ascii="Times New Roman" w:hAnsi="Times New Roman" w:cs="Times New Roman" w:hint="eastAsia"/>
          <w:b/>
          <w:bCs/>
          <w:i/>
          <w:iCs/>
          <w:sz w:val="20"/>
          <w:szCs w:val="20"/>
        </w:rPr>
        <w:t xml:space="preserve">Proposal </w:t>
      </w:r>
      <w:r w:rsidRPr="002C6631">
        <w:rPr>
          <w:rFonts w:ascii="Times New Roman" w:hAnsi="Times New Roman" w:cs="Times New Roman"/>
          <w:b/>
          <w:bCs/>
          <w:i/>
          <w:iCs/>
          <w:sz w:val="20"/>
          <w:szCs w:val="20"/>
        </w:rPr>
        <w:t>6</w:t>
      </w:r>
      <w:r w:rsidRPr="002C6631">
        <w:rPr>
          <w:rFonts w:ascii="Times New Roman" w:hAnsi="Times New Roman" w:cs="Times New Roman" w:hint="eastAsia"/>
          <w:b/>
          <w:bCs/>
          <w:i/>
          <w:iCs/>
          <w:sz w:val="20"/>
          <w:szCs w:val="20"/>
        </w:rPr>
        <w:t xml:space="preserve">: </w:t>
      </w:r>
      <w:r>
        <w:rPr>
          <w:rFonts w:ascii="Times New Roman" w:hAnsi="Times New Roman" w:cs="Times New Roman"/>
          <w:i/>
          <w:iCs/>
          <w:sz w:val="20"/>
          <w:szCs w:val="20"/>
        </w:rPr>
        <w:t>T</w:t>
      </w:r>
      <w:r w:rsidRPr="002C6631">
        <w:rPr>
          <w:rFonts w:ascii="Times New Roman" w:hAnsi="Times New Roman" w:cs="Times New Roman" w:hint="eastAsia"/>
          <w:i/>
          <w:iCs/>
          <w:sz w:val="20"/>
          <w:szCs w:val="20"/>
        </w:rPr>
        <w:t>he DAI field in the DCI scheduling Msg4 PDSCH should be specified</w:t>
      </w:r>
      <w:r>
        <w:rPr>
          <w:rFonts w:ascii="Times New Roman" w:hAnsi="Times New Roman" w:cs="Times New Roman"/>
          <w:i/>
          <w:iCs/>
          <w:sz w:val="20"/>
          <w:szCs w:val="20"/>
        </w:rPr>
        <w:t xml:space="preserve"> for the</w:t>
      </w:r>
      <w:r w:rsidRPr="002C6631">
        <w:rPr>
          <w:rFonts w:ascii="Times New Roman" w:hAnsi="Times New Roman" w:cs="Times New Roman" w:hint="eastAsia"/>
          <w:i/>
          <w:iCs/>
          <w:sz w:val="20"/>
          <w:szCs w:val="20"/>
        </w:rPr>
        <w:t xml:space="preserve"> repetition number indication.</w:t>
      </w:r>
    </w:p>
    <w:p w14:paraId="1426E17C" w14:textId="77777777" w:rsidR="00AE46D9" w:rsidRDefault="00AE46D9" w:rsidP="00AE46D9">
      <w:pPr>
        <w:numPr>
          <w:ilvl w:val="3"/>
          <w:numId w:val="0"/>
        </w:numPr>
        <w:spacing w:after="0" w:line="240" w:lineRule="auto"/>
        <w:jc w:val="both"/>
        <w:rPr>
          <w:rFonts w:ascii="Times New Roman" w:hAnsi="Times New Roman" w:cs="Times New Roman"/>
          <w:i/>
          <w:iCs/>
          <w:sz w:val="20"/>
          <w:szCs w:val="20"/>
        </w:rPr>
      </w:pPr>
      <w:r w:rsidRPr="002C6631">
        <w:rPr>
          <w:rFonts w:ascii="Times New Roman" w:hAnsi="Times New Roman" w:cs="Times New Roman" w:hint="eastAsia"/>
          <w:b/>
          <w:bCs/>
          <w:i/>
          <w:iCs/>
          <w:sz w:val="20"/>
          <w:szCs w:val="20"/>
        </w:rPr>
        <w:t xml:space="preserve">Proposal </w:t>
      </w:r>
      <w:r w:rsidRPr="002C6631">
        <w:rPr>
          <w:rFonts w:ascii="Times New Roman" w:hAnsi="Times New Roman" w:cs="Times New Roman"/>
          <w:b/>
          <w:bCs/>
          <w:i/>
          <w:iCs/>
          <w:sz w:val="20"/>
          <w:szCs w:val="20"/>
        </w:rPr>
        <w:t>7</w:t>
      </w:r>
      <w:r w:rsidRPr="002C6631">
        <w:rPr>
          <w:rFonts w:ascii="Times New Roman" w:hAnsi="Times New Roman" w:cs="Times New Roman" w:hint="eastAsia"/>
          <w:b/>
          <w:bCs/>
          <w:i/>
          <w:iCs/>
          <w:sz w:val="20"/>
          <w:szCs w:val="20"/>
        </w:rPr>
        <w:t xml:space="preserve">: </w:t>
      </w:r>
      <w:r w:rsidRPr="002C6631">
        <w:rPr>
          <w:rFonts w:ascii="Times New Roman" w:hAnsi="Times New Roman" w:cs="Times New Roman" w:hint="eastAsia"/>
          <w:i/>
          <w:iCs/>
          <w:sz w:val="20"/>
          <w:szCs w:val="20"/>
        </w:rPr>
        <w:t xml:space="preserve">For PUCCH transmission when dedicated PUCCH resource configuration is not provided, the indicated repetition factor for PUCCH for msg4 HARQ-ACK </w:t>
      </w:r>
      <w:r>
        <w:rPr>
          <w:rFonts w:ascii="Times New Roman" w:hAnsi="Times New Roman" w:cs="Times New Roman"/>
          <w:i/>
          <w:iCs/>
          <w:sz w:val="20"/>
          <w:szCs w:val="20"/>
        </w:rPr>
        <w:t xml:space="preserve">will be extended </w:t>
      </w:r>
      <w:r w:rsidRPr="002C6631">
        <w:rPr>
          <w:rFonts w:ascii="Times New Roman" w:hAnsi="Times New Roman" w:cs="Times New Roman" w:hint="eastAsia"/>
          <w:i/>
          <w:iCs/>
          <w:sz w:val="20"/>
          <w:szCs w:val="20"/>
        </w:rPr>
        <w:t>as repetition factor for other common PUCCH transmission.</w:t>
      </w:r>
    </w:p>
    <w:p w14:paraId="5D9DD5D7" w14:textId="77777777" w:rsidR="001E4EF0" w:rsidRDefault="00B603FA">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0B218E99" w14:textId="77777777" w:rsidR="001E4EF0" w:rsidRDefault="00B603FA">
      <w:pPr>
        <w:pStyle w:val="ListParagraph1"/>
        <w:numPr>
          <w:ilvl w:val="0"/>
          <w:numId w:val="10"/>
        </w:numPr>
        <w:spacing w:after="0" w:line="240" w:lineRule="auto"/>
        <w:ind w:left="505" w:hanging="505"/>
        <w:rPr>
          <w:rFonts w:ascii="Times New Roman" w:hAnsi="Times New Roman" w:cs="Times New Roman"/>
          <w:sz w:val="20"/>
          <w:szCs w:val="20"/>
        </w:rPr>
      </w:pPr>
      <w:bookmarkStart w:id="6" w:name="_Ref10563"/>
      <w:bookmarkStart w:id="7" w:name="_Ref2933"/>
      <w:bookmarkStart w:id="8" w:name="_Ref32552"/>
      <w:r>
        <w:rPr>
          <w:rFonts w:ascii="Times New Roman" w:hAnsi="Times New Roman" w:cs="Times New Roman" w:hint="eastAsia"/>
          <w:sz w:val="20"/>
          <w:szCs w:val="20"/>
        </w:rPr>
        <w:lastRenderedPageBreak/>
        <w:t>R1-2303953, Summary#4 on 9.9.1 Coverage enhancement for NR NTN, RAN1#11</w:t>
      </w:r>
      <w:bookmarkEnd w:id="6"/>
      <w:r>
        <w:rPr>
          <w:rFonts w:ascii="Times New Roman" w:hAnsi="Times New Roman" w:cs="Times New Roman" w:hint="eastAsia"/>
          <w:sz w:val="20"/>
          <w:szCs w:val="20"/>
        </w:rPr>
        <w:t>2bis-e</w:t>
      </w:r>
      <w:bookmarkEnd w:id="7"/>
    </w:p>
    <w:p w14:paraId="216846DF" w14:textId="587DBF80" w:rsidR="001E4EF0" w:rsidRDefault="00B603FA">
      <w:pPr>
        <w:pStyle w:val="ListParagraph1"/>
        <w:numPr>
          <w:ilvl w:val="0"/>
          <w:numId w:val="10"/>
        </w:numPr>
        <w:spacing w:after="0" w:line="240" w:lineRule="auto"/>
        <w:ind w:left="505" w:hanging="505"/>
        <w:rPr>
          <w:rFonts w:ascii="Times New Roman" w:hAnsi="Times New Roman" w:cs="Times New Roman"/>
          <w:sz w:val="20"/>
          <w:szCs w:val="20"/>
        </w:rPr>
      </w:pPr>
      <w:bookmarkStart w:id="9" w:name="_Ref22801"/>
      <w:r>
        <w:rPr>
          <w:rFonts w:ascii="Times New Roman" w:hAnsi="Times New Roman" w:cs="Times New Roman" w:hint="eastAsia"/>
          <w:sz w:val="20"/>
          <w:szCs w:val="20"/>
        </w:rPr>
        <w:t xml:space="preserve">R1-2303294, </w:t>
      </w:r>
      <w:r>
        <w:rPr>
          <w:rFonts w:ascii="Times New Roman" w:hAnsi="Times New Roman" w:cs="Times New Roman"/>
          <w:sz w:val="20"/>
          <w:szCs w:val="20"/>
        </w:rPr>
        <w:t>Discussion on coverage enhancement for NTN</w:t>
      </w:r>
      <w:r>
        <w:rPr>
          <w:rFonts w:ascii="Times New Roman" w:hAnsi="Times New Roman" w:cs="Times New Roman" w:hint="eastAsia"/>
          <w:sz w:val="20"/>
          <w:szCs w:val="20"/>
        </w:rPr>
        <w:t>, ZTE</w:t>
      </w:r>
      <w:bookmarkEnd w:id="9"/>
    </w:p>
    <w:p w14:paraId="44882195" w14:textId="7F3FFC5D" w:rsidR="001E4EF0" w:rsidRDefault="00B603FA" w:rsidP="005B560A">
      <w:pPr>
        <w:pStyle w:val="ListParagraph1"/>
        <w:numPr>
          <w:ilvl w:val="0"/>
          <w:numId w:val="10"/>
        </w:numPr>
        <w:spacing w:after="0" w:line="240" w:lineRule="auto"/>
        <w:ind w:left="505" w:hanging="505"/>
      </w:pPr>
      <w:bookmarkStart w:id="10" w:name="_Ref10729"/>
      <w:r w:rsidRPr="00E70D0A">
        <w:rPr>
          <w:rFonts w:ascii="Times New Roman" w:hAnsi="Times New Roman" w:cs="Times New Roman" w:hint="eastAsia"/>
          <w:sz w:val="20"/>
          <w:szCs w:val="20"/>
        </w:rPr>
        <w:t>3GPP TS 38.213, Physical layer procedures for control</w:t>
      </w:r>
      <w:bookmarkEnd w:id="8"/>
      <w:bookmarkEnd w:id="10"/>
    </w:p>
    <w:sectPr w:rsidR="001E4E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A30F8" w14:textId="77777777" w:rsidR="00F960F6" w:rsidRDefault="00F960F6" w:rsidP="007C1C81">
      <w:pPr>
        <w:spacing w:after="0" w:line="240" w:lineRule="auto"/>
      </w:pPr>
      <w:r>
        <w:separator/>
      </w:r>
    </w:p>
  </w:endnote>
  <w:endnote w:type="continuationSeparator" w:id="0">
    <w:p w14:paraId="62A74CBB" w14:textId="77777777" w:rsidR="00F960F6" w:rsidRDefault="00F960F6" w:rsidP="007C1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3643D" w14:textId="77777777" w:rsidR="00F960F6" w:rsidRDefault="00F960F6" w:rsidP="007C1C81">
      <w:pPr>
        <w:spacing w:after="0" w:line="240" w:lineRule="auto"/>
      </w:pPr>
      <w:r>
        <w:separator/>
      </w:r>
    </w:p>
  </w:footnote>
  <w:footnote w:type="continuationSeparator" w:id="0">
    <w:p w14:paraId="69A09A77" w14:textId="77777777" w:rsidR="00F960F6" w:rsidRDefault="00F960F6" w:rsidP="007C1C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9D7120"/>
    <w:multiLevelType w:val="singleLevel"/>
    <w:tmpl w:val="929D7120"/>
    <w:lvl w:ilvl="0">
      <w:start w:val="1"/>
      <w:numFmt w:val="bullet"/>
      <w:lvlText w:val="○"/>
      <w:lvlJc w:val="left"/>
      <w:pPr>
        <w:ind w:left="420" w:hanging="420"/>
      </w:pPr>
      <w:rPr>
        <w:rFonts w:ascii="Arial" w:hAnsi="Arial" w:cs="Arial" w:hint="default"/>
      </w:rPr>
    </w:lvl>
  </w:abstractNum>
  <w:abstractNum w:abstractNumId="1" w15:restartNumberingAfterBreak="0">
    <w:nsid w:val="99DF4B2D"/>
    <w:multiLevelType w:val="multilevel"/>
    <w:tmpl w:val="99DF4B2D"/>
    <w:lvl w:ilvl="0">
      <w:start w:val="1"/>
      <w:numFmt w:val="bullet"/>
      <w:lvlText w:val=""/>
      <w:lvlJc w:val="left"/>
      <w:pPr>
        <w:ind w:left="1701" w:hanging="902"/>
      </w:pPr>
      <w:rPr>
        <w:rFonts w:ascii="Symbol" w:eastAsia="MS Mincho" w:hAnsi="Symbol" w:hint="default"/>
        <w:u w:val="none"/>
      </w:rPr>
    </w:lvl>
    <w:lvl w:ilvl="1">
      <w:start w:val="1"/>
      <w:numFmt w:val="bullet"/>
      <w:lvlText w:val="o"/>
      <w:lvlJc w:val="left"/>
      <w:pPr>
        <w:ind w:left="1639" w:hanging="420"/>
      </w:pPr>
      <w:rPr>
        <w:rFonts w:ascii="Courier New" w:eastAsia="Malgun Gothic" w:hAnsi="Courier New" w:hint="default"/>
        <w:u w:val="none"/>
      </w:rPr>
    </w:lvl>
    <w:lvl w:ilvl="2">
      <w:numFmt w:val="bullet"/>
      <w:lvlText w:val="-"/>
      <w:lvlJc w:val="left"/>
      <w:pPr>
        <w:ind w:left="2059" w:hanging="420"/>
      </w:pPr>
      <w:rPr>
        <w:rFonts w:ascii="Times" w:eastAsia="Batang" w:hAnsi="Times" w:hint="default"/>
        <w:u w:val="none"/>
      </w:rPr>
    </w:lvl>
    <w:lvl w:ilvl="3">
      <w:start w:val="1"/>
      <w:numFmt w:val="bullet"/>
      <w:lvlText w:val=""/>
      <w:lvlJc w:val="left"/>
      <w:pPr>
        <w:ind w:left="2479" w:hanging="420"/>
      </w:pPr>
      <w:rPr>
        <w:rFonts w:ascii="Wingdings" w:eastAsia="Malgun Gothic" w:hAnsi="Wingdings" w:hint="default"/>
        <w:u w:val="none"/>
      </w:rPr>
    </w:lvl>
    <w:lvl w:ilvl="4">
      <w:start w:val="1"/>
      <w:numFmt w:val="bullet"/>
      <w:lvlText w:val=""/>
      <w:lvlJc w:val="left"/>
      <w:pPr>
        <w:ind w:left="2899" w:hanging="420"/>
      </w:pPr>
      <w:rPr>
        <w:rFonts w:ascii="Wingdings" w:eastAsia="Malgun Gothic" w:hAnsi="Wingdings" w:hint="default"/>
        <w:u w:val="none"/>
      </w:rPr>
    </w:lvl>
    <w:lvl w:ilvl="5">
      <w:start w:val="1"/>
      <w:numFmt w:val="bullet"/>
      <w:lvlText w:val=""/>
      <w:lvlJc w:val="left"/>
      <w:pPr>
        <w:ind w:left="3319" w:hanging="420"/>
      </w:pPr>
      <w:rPr>
        <w:rFonts w:ascii="Wingdings" w:eastAsia="Malgun Gothic" w:hAnsi="Wingdings" w:hint="default"/>
        <w:u w:val="none"/>
      </w:rPr>
    </w:lvl>
    <w:lvl w:ilvl="6">
      <w:start w:val="1"/>
      <w:numFmt w:val="bullet"/>
      <w:lvlText w:val=""/>
      <w:lvlJc w:val="left"/>
      <w:pPr>
        <w:ind w:left="3739" w:hanging="420"/>
      </w:pPr>
      <w:rPr>
        <w:rFonts w:ascii="Wingdings" w:eastAsia="Malgun Gothic" w:hAnsi="Wingdings" w:hint="default"/>
        <w:u w:val="none"/>
      </w:rPr>
    </w:lvl>
    <w:lvl w:ilvl="7">
      <w:start w:val="1"/>
      <w:numFmt w:val="bullet"/>
      <w:lvlText w:val=""/>
      <w:lvlJc w:val="left"/>
      <w:pPr>
        <w:ind w:left="4159" w:hanging="420"/>
      </w:pPr>
      <w:rPr>
        <w:rFonts w:ascii="Wingdings" w:eastAsia="Malgun Gothic" w:hAnsi="Wingdings" w:hint="default"/>
        <w:u w:val="none"/>
      </w:rPr>
    </w:lvl>
    <w:lvl w:ilvl="8">
      <w:start w:val="1"/>
      <w:numFmt w:val="bullet"/>
      <w:lvlText w:val=""/>
      <w:lvlJc w:val="left"/>
      <w:pPr>
        <w:ind w:left="4579" w:hanging="420"/>
      </w:pPr>
      <w:rPr>
        <w:rFonts w:ascii="Wingdings" w:eastAsia="Malgun Gothic" w:hAnsi="Wingdings" w:hint="default"/>
        <w:u w:val="none"/>
      </w:rPr>
    </w:lvl>
  </w:abstractNum>
  <w:abstractNum w:abstractNumId="2" w15:restartNumberingAfterBreak="0">
    <w:nsid w:val="C19F317A"/>
    <w:multiLevelType w:val="singleLevel"/>
    <w:tmpl w:val="C19F317A"/>
    <w:lvl w:ilvl="0">
      <w:start w:val="1"/>
      <w:numFmt w:val="bullet"/>
      <w:lvlText w:val="▪"/>
      <w:lvlJc w:val="left"/>
      <w:pPr>
        <w:ind w:left="420" w:hanging="420"/>
      </w:pPr>
      <w:rPr>
        <w:rFonts w:ascii="微软雅黑" w:eastAsia="微软雅黑" w:hAnsi="微软雅黑" w:cs="微软雅黑" w:hint="default"/>
      </w:rPr>
    </w:lvl>
  </w:abstractNum>
  <w:abstractNum w:abstractNumId="3" w15:restartNumberingAfterBreak="0">
    <w:nsid w:val="CCCE2C99"/>
    <w:multiLevelType w:val="singleLevel"/>
    <w:tmpl w:val="CCCE2C99"/>
    <w:lvl w:ilvl="0">
      <w:start w:val="1"/>
      <w:numFmt w:val="bullet"/>
      <w:lvlText w:val="●"/>
      <w:lvlJc w:val="left"/>
      <w:pPr>
        <w:ind w:left="420" w:hanging="420"/>
      </w:pPr>
      <w:rPr>
        <w:rFonts w:ascii="Arial" w:hAnsi="Arial" w:cs="Arial" w:hint="default"/>
      </w:rPr>
    </w:lvl>
  </w:abstractNum>
  <w:abstractNum w:abstractNumId="4"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7" w15:restartNumberingAfterBreak="0">
    <w:nsid w:val="3FD7597A"/>
    <w:multiLevelType w:val="multilevel"/>
    <w:tmpl w:val="3A02BF90"/>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Arial"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2965106"/>
    <w:multiLevelType w:val="multilevel"/>
    <w:tmpl w:val="629651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num>
  <w:num w:numId="4">
    <w:abstractNumId w:val="1"/>
  </w:num>
  <w:num w:numId="5">
    <w:abstractNumId w:val="7"/>
  </w:num>
  <w:num w:numId="6">
    <w:abstractNumId w:val="10"/>
  </w:num>
  <w:num w:numId="7">
    <w:abstractNumId w:val="0"/>
  </w:num>
  <w:num w:numId="8">
    <w:abstractNumId w:val="3"/>
  </w:num>
  <w:num w:numId="9">
    <w:abstractNumId w:val="2"/>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DF2"/>
    <w:rsid w:val="000139C8"/>
    <w:rsid w:val="00014FBE"/>
    <w:rsid w:val="000179D0"/>
    <w:rsid w:val="00025C03"/>
    <w:rsid w:val="000357EB"/>
    <w:rsid w:val="0003653D"/>
    <w:rsid w:val="0004527F"/>
    <w:rsid w:val="0005674D"/>
    <w:rsid w:val="0005721F"/>
    <w:rsid w:val="00057891"/>
    <w:rsid w:val="00061556"/>
    <w:rsid w:val="00063AA8"/>
    <w:rsid w:val="00073767"/>
    <w:rsid w:val="0007626B"/>
    <w:rsid w:val="00083791"/>
    <w:rsid w:val="0008667E"/>
    <w:rsid w:val="00095520"/>
    <w:rsid w:val="000A078D"/>
    <w:rsid w:val="000A0A27"/>
    <w:rsid w:val="000A42A5"/>
    <w:rsid w:val="000A5EB8"/>
    <w:rsid w:val="000B2109"/>
    <w:rsid w:val="000B224E"/>
    <w:rsid w:val="000B5CC3"/>
    <w:rsid w:val="000B6071"/>
    <w:rsid w:val="000C5155"/>
    <w:rsid w:val="000C6FDE"/>
    <w:rsid w:val="000D4FBC"/>
    <w:rsid w:val="000E43EF"/>
    <w:rsid w:val="000E65DF"/>
    <w:rsid w:val="001005DF"/>
    <w:rsid w:val="001074E3"/>
    <w:rsid w:val="0010757D"/>
    <w:rsid w:val="00116C64"/>
    <w:rsid w:val="00125D48"/>
    <w:rsid w:val="001328DC"/>
    <w:rsid w:val="00134A0D"/>
    <w:rsid w:val="00141D5E"/>
    <w:rsid w:val="0014473C"/>
    <w:rsid w:val="00150434"/>
    <w:rsid w:val="00150CE7"/>
    <w:rsid w:val="00155D7D"/>
    <w:rsid w:val="00163F4C"/>
    <w:rsid w:val="00171966"/>
    <w:rsid w:val="00172A27"/>
    <w:rsid w:val="00174153"/>
    <w:rsid w:val="00183A07"/>
    <w:rsid w:val="00184AC8"/>
    <w:rsid w:val="001859C5"/>
    <w:rsid w:val="001914CF"/>
    <w:rsid w:val="001945F7"/>
    <w:rsid w:val="001954B3"/>
    <w:rsid w:val="001A3B5B"/>
    <w:rsid w:val="001B5A89"/>
    <w:rsid w:val="001B68F8"/>
    <w:rsid w:val="001C753E"/>
    <w:rsid w:val="001D19C1"/>
    <w:rsid w:val="001D21DF"/>
    <w:rsid w:val="001D6B75"/>
    <w:rsid w:val="001E07F6"/>
    <w:rsid w:val="001E129D"/>
    <w:rsid w:val="001E186A"/>
    <w:rsid w:val="001E4EF0"/>
    <w:rsid w:val="001E6E26"/>
    <w:rsid w:val="001F05E4"/>
    <w:rsid w:val="001F27BA"/>
    <w:rsid w:val="001F3C01"/>
    <w:rsid w:val="001F4546"/>
    <w:rsid w:val="001F51CA"/>
    <w:rsid w:val="001F631C"/>
    <w:rsid w:val="00205532"/>
    <w:rsid w:val="00214B75"/>
    <w:rsid w:val="0022021F"/>
    <w:rsid w:val="00222A3E"/>
    <w:rsid w:val="00225F89"/>
    <w:rsid w:val="00237CB6"/>
    <w:rsid w:val="00245E67"/>
    <w:rsid w:val="002633E4"/>
    <w:rsid w:val="002633FA"/>
    <w:rsid w:val="00265AF7"/>
    <w:rsid w:val="00286B13"/>
    <w:rsid w:val="0029101B"/>
    <w:rsid w:val="002968FF"/>
    <w:rsid w:val="002A5914"/>
    <w:rsid w:val="002A67BF"/>
    <w:rsid w:val="002B4F46"/>
    <w:rsid w:val="002B71D6"/>
    <w:rsid w:val="002C6631"/>
    <w:rsid w:val="002C7039"/>
    <w:rsid w:val="002D3755"/>
    <w:rsid w:val="002D4344"/>
    <w:rsid w:val="002D519E"/>
    <w:rsid w:val="002D7396"/>
    <w:rsid w:val="002F1F87"/>
    <w:rsid w:val="002F3B77"/>
    <w:rsid w:val="003140DB"/>
    <w:rsid w:val="00314567"/>
    <w:rsid w:val="003247F2"/>
    <w:rsid w:val="0032669A"/>
    <w:rsid w:val="00332A15"/>
    <w:rsid w:val="00332AB5"/>
    <w:rsid w:val="00332E37"/>
    <w:rsid w:val="00334EA0"/>
    <w:rsid w:val="00335688"/>
    <w:rsid w:val="00335AF0"/>
    <w:rsid w:val="003401B2"/>
    <w:rsid w:val="003416DF"/>
    <w:rsid w:val="00342E02"/>
    <w:rsid w:val="00343AFC"/>
    <w:rsid w:val="00345635"/>
    <w:rsid w:val="00347D6F"/>
    <w:rsid w:val="00350DB8"/>
    <w:rsid w:val="00350EB0"/>
    <w:rsid w:val="00353F7D"/>
    <w:rsid w:val="00355FCF"/>
    <w:rsid w:val="003579C9"/>
    <w:rsid w:val="00364A8B"/>
    <w:rsid w:val="003755EC"/>
    <w:rsid w:val="003758AC"/>
    <w:rsid w:val="00380E55"/>
    <w:rsid w:val="003934F8"/>
    <w:rsid w:val="00396FDA"/>
    <w:rsid w:val="00397AE7"/>
    <w:rsid w:val="00397BAA"/>
    <w:rsid w:val="003B23FE"/>
    <w:rsid w:val="003C3C70"/>
    <w:rsid w:val="003D674C"/>
    <w:rsid w:val="003D6B19"/>
    <w:rsid w:val="003F0BAF"/>
    <w:rsid w:val="003F1C73"/>
    <w:rsid w:val="003F3770"/>
    <w:rsid w:val="003F79EF"/>
    <w:rsid w:val="00410235"/>
    <w:rsid w:val="004116B4"/>
    <w:rsid w:val="004135A0"/>
    <w:rsid w:val="00422100"/>
    <w:rsid w:val="00426A3D"/>
    <w:rsid w:val="00430CF9"/>
    <w:rsid w:val="00430E84"/>
    <w:rsid w:val="004319CA"/>
    <w:rsid w:val="00440760"/>
    <w:rsid w:val="0044101B"/>
    <w:rsid w:val="00441A19"/>
    <w:rsid w:val="00441E8A"/>
    <w:rsid w:val="00442E5E"/>
    <w:rsid w:val="004513E6"/>
    <w:rsid w:val="00451EF6"/>
    <w:rsid w:val="004637DB"/>
    <w:rsid w:val="004648DB"/>
    <w:rsid w:val="00471A5A"/>
    <w:rsid w:val="00472246"/>
    <w:rsid w:val="00472D3D"/>
    <w:rsid w:val="00474B84"/>
    <w:rsid w:val="00475894"/>
    <w:rsid w:val="00482F7E"/>
    <w:rsid w:val="0048318D"/>
    <w:rsid w:val="00485192"/>
    <w:rsid w:val="00491BF8"/>
    <w:rsid w:val="00495737"/>
    <w:rsid w:val="00497C9C"/>
    <w:rsid w:val="004A3905"/>
    <w:rsid w:val="004A6588"/>
    <w:rsid w:val="004A6640"/>
    <w:rsid w:val="004A6CD9"/>
    <w:rsid w:val="004B28E2"/>
    <w:rsid w:val="004B3513"/>
    <w:rsid w:val="004B36C7"/>
    <w:rsid w:val="004B5F6E"/>
    <w:rsid w:val="004B6063"/>
    <w:rsid w:val="004C4977"/>
    <w:rsid w:val="004D1104"/>
    <w:rsid w:val="004D3181"/>
    <w:rsid w:val="004D775D"/>
    <w:rsid w:val="004E05AF"/>
    <w:rsid w:val="004E3ACD"/>
    <w:rsid w:val="004E5AF0"/>
    <w:rsid w:val="004F03E6"/>
    <w:rsid w:val="004F62EE"/>
    <w:rsid w:val="004F754D"/>
    <w:rsid w:val="004F75B9"/>
    <w:rsid w:val="004F776F"/>
    <w:rsid w:val="004F7853"/>
    <w:rsid w:val="004F7FE3"/>
    <w:rsid w:val="00500376"/>
    <w:rsid w:val="00505267"/>
    <w:rsid w:val="00510919"/>
    <w:rsid w:val="00517B2E"/>
    <w:rsid w:val="00520395"/>
    <w:rsid w:val="005332A0"/>
    <w:rsid w:val="00542CCB"/>
    <w:rsid w:val="00543D3A"/>
    <w:rsid w:val="00551616"/>
    <w:rsid w:val="00552969"/>
    <w:rsid w:val="00556B4D"/>
    <w:rsid w:val="005610CB"/>
    <w:rsid w:val="00563061"/>
    <w:rsid w:val="005647C8"/>
    <w:rsid w:val="0058050C"/>
    <w:rsid w:val="005900DB"/>
    <w:rsid w:val="00590A36"/>
    <w:rsid w:val="00594AF1"/>
    <w:rsid w:val="005963A2"/>
    <w:rsid w:val="005A6E7D"/>
    <w:rsid w:val="005B13FE"/>
    <w:rsid w:val="005B560A"/>
    <w:rsid w:val="005C6294"/>
    <w:rsid w:val="005D1271"/>
    <w:rsid w:val="005D6C77"/>
    <w:rsid w:val="005D7779"/>
    <w:rsid w:val="005E722F"/>
    <w:rsid w:val="005F42EB"/>
    <w:rsid w:val="005F6CD9"/>
    <w:rsid w:val="00602286"/>
    <w:rsid w:val="00603774"/>
    <w:rsid w:val="00605B70"/>
    <w:rsid w:val="00606F8B"/>
    <w:rsid w:val="00624DD8"/>
    <w:rsid w:val="00627CE8"/>
    <w:rsid w:val="00627E7C"/>
    <w:rsid w:val="006315DA"/>
    <w:rsid w:val="00632CEB"/>
    <w:rsid w:val="00633EEB"/>
    <w:rsid w:val="00635ADA"/>
    <w:rsid w:val="00637AAA"/>
    <w:rsid w:val="00641EFF"/>
    <w:rsid w:val="00643D4D"/>
    <w:rsid w:val="00644F76"/>
    <w:rsid w:val="00650655"/>
    <w:rsid w:val="006516F6"/>
    <w:rsid w:val="00655739"/>
    <w:rsid w:val="006621A5"/>
    <w:rsid w:val="00664E56"/>
    <w:rsid w:val="006708AC"/>
    <w:rsid w:val="00675722"/>
    <w:rsid w:val="006761DB"/>
    <w:rsid w:val="00677F24"/>
    <w:rsid w:val="00680A6C"/>
    <w:rsid w:val="00681C25"/>
    <w:rsid w:val="00685696"/>
    <w:rsid w:val="006903BA"/>
    <w:rsid w:val="006916B2"/>
    <w:rsid w:val="00693EE6"/>
    <w:rsid w:val="006A1E01"/>
    <w:rsid w:val="006A7310"/>
    <w:rsid w:val="006B133E"/>
    <w:rsid w:val="006B2B01"/>
    <w:rsid w:val="006B3493"/>
    <w:rsid w:val="006B481D"/>
    <w:rsid w:val="006B6268"/>
    <w:rsid w:val="006C752F"/>
    <w:rsid w:val="006D19C2"/>
    <w:rsid w:val="006D3FCB"/>
    <w:rsid w:val="006E2227"/>
    <w:rsid w:val="006E5859"/>
    <w:rsid w:val="006F30C8"/>
    <w:rsid w:val="006F670C"/>
    <w:rsid w:val="006F7C56"/>
    <w:rsid w:val="007023F3"/>
    <w:rsid w:val="00702EE9"/>
    <w:rsid w:val="00703A19"/>
    <w:rsid w:val="00706F5A"/>
    <w:rsid w:val="007074BB"/>
    <w:rsid w:val="00720FE7"/>
    <w:rsid w:val="0072197F"/>
    <w:rsid w:val="00725951"/>
    <w:rsid w:val="00731DE0"/>
    <w:rsid w:val="00736C98"/>
    <w:rsid w:val="00741698"/>
    <w:rsid w:val="00746526"/>
    <w:rsid w:val="0074696E"/>
    <w:rsid w:val="00747810"/>
    <w:rsid w:val="00751B58"/>
    <w:rsid w:val="00752259"/>
    <w:rsid w:val="00755E88"/>
    <w:rsid w:val="007636B9"/>
    <w:rsid w:val="007642B5"/>
    <w:rsid w:val="00765666"/>
    <w:rsid w:val="00771E86"/>
    <w:rsid w:val="0078428E"/>
    <w:rsid w:val="00787DD0"/>
    <w:rsid w:val="0079451A"/>
    <w:rsid w:val="0079548A"/>
    <w:rsid w:val="007A0BEC"/>
    <w:rsid w:val="007A4247"/>
    <w:rsid w:val="007A5EC9"/>
    <w:rsid w:val="007B059A"/>
    <w:rsid w:val="007B092E"/>
    <w:rsid w:val="007B0B10"/>
    <w:rsid w:val="007B1CCD"/>
    <w:rsid w:val="007B260D"/>
    <w:rsid w:val="007B448E"/>
    <w:rsid w:val="007C1C81"/>
    <w:rsid w:val="007C4429"/>
    <w:rsid w:val="007C5CF5"/>
    <w:rsid w:val="007C6AEE"/>
    <w:rsid w:val="007D30EA"/>
    <w:rsid w:val="007D4CAF"/>
    <w:rsid w:val="007E58B4"/>
    <w:rsid w:val="007E6570"/>
    <w:rsid w:val="007F4B43"/>
    <w:rsid w:val="008042FC"/>
    <w:rsid w:val="00804A83"/>
    <w:rsid w:val="00805812"/>
    <w:rsid w:val="00824CF8"/>
    <w:rsid w:val="0084202C"/>
    <w:rsid w:val="00850EC4"/>
    <w:rsid w:val="00857A37"/>
    <w:rsid w:val="00860492"/>
    <w:rsid w:val="00862500"/>
    <w:rsid w:val="00862AC7"/>
    <w:rsid w:val="00874018"/>
    <w:rsid w:val="00874424"/>
    <w:rsid w:val="00893985"/>
    <w:rsid w:val="008944E4"/>
    <w:rsid w:val="00896623"/>
    <w:rsid w:val="008A2B08"/>
    <w:rsid w:val="008A4E5C"/>
    <w:rsid w:val="008A6A98"/>
    <w:rsid w:val="008B0B9B"/>
    <w:rsid w:val="008B1F3F"/>
    <w:rsid w:val="008B37AC"/>
    <w:rsid w:val="008B6B23"/>
    <w:rsid w:val="008B7A2E"/>
    <w:rsid w:val="008C5095"/>
    <w:rsid w:val="008C7C79"/>
    <w:rsid w:val="008D3698"/>
    <w:rsid w:val="008D50D1"/>
    <w:rsid w:val="008D6D6D"/>
    <w:rsid w:val="008E4956"/>
    <w:rsid w:val="008E5779"/>
    <w:rsid w:val="008F19CE"/>
    <w:rsid w:val="008F1B0C"/>
    <w:rsid w:val="009002D1"/>
    <w:rsid w:val="009062E5"/>
    <w:rsid w:val="00912640"/>
    <w:rsid w:val="009147B7"/>
    <w:rsid w:val="00914CC2"/>
    <w:rsid w:val="00922038"/>
    <w:rsid w:val="00930332"/>
    <w:rsid w:val="00936527"/>
    <w:rsid w:val="00955E1D"/>
    <w:rsid w:val="009565DA"/>
    <w:rsid w:val="00960F0C"/>
    <w:rsid w:val="00961559"/>
    <w:rsid w:val="00964AD7"/>
    <w:rsid w:val="0096782C"/>
    <w:rsid w:val="0097394D"/>
    <w:rsid w:val="00973D0A"/>
    <w:rsid w:val="00987405"/>
    <w:rsid w:val="0098746D"/>
    <w:rsid w:val="0099046B"/>
    <w:rsid w:val="009911CC"/>
    <w:rsid w:val="009A1CF9"/>
    <w:rsid w:val="009A66CA"/>
    <w:rsid w:val="009A75AC"/>
    <w:rsid w:val="009B315E"/>
    <w:rsid w:val="009B562D"/>
    <w:rsid w:val="009C1E4B"/>
    <w:rsid w:val="009C2E35"/>
    <w:rsid w:val="009C450B"/>
    <w:rsid w:val="009D6F42"/>
    <w:rsid w:val="009D768F"/>
    <w:rsid w:val="009E1A98"/>
    <w:rsid w:val="009E3C8A"/>
    <w:rsid w:val="009F50F3"/>
    <w:rsid w:val="009F6E2B"/>
    <w:rsid w:val="00A069BB"/>
    <w:rsid w:val="00A14091"/>
    <w:rsid w:val="00A20C2D"/>
    <w:rsid w:val="00A20CAB"/>
    <w:rsid w:val="00A27E23"/>
    <w:rsid w:val="00A31BCB"/>
    <w:rsid w:val="00A350E6"/>
    <w:rsid w:val="00A42B1F"/>
    <w:rsid w:val="00A542C1"/>
    <w:rsid w:val="00A66061"/>
    <w:rsid w:val="00A715EE"/>
    <w:rsid w:val="00A74CE5"/>
    <w:rsid w:val="00A80046"/>
    <w:rsid w:val="00A80C19"/>
    <w:rsid w:val="00A80D2E"/>
    <w:rsid w:val="00A82286"/>
    <w:rsid w:val="00A83227"/>
    <w:rsid w:val="00A934E5"/>
    <w:rsid w:val="00A96AF4"/>
    <w:rsid w:val="00AA241D"/>
    <w:rsid w:val="00AA531A"/>
    <w:rsid w:val="00AA7008"/>
    <w:rsid w:val="00AB1830"/>
    <w:rsid w:val="00AB2B8D"/>
    <w:rsid w:val="00AB3436"/>
    <w:rsid w:val="00AB5BA8"/>
    <w:rsid w:val="00AB6779"/>
    <w:rsid w:val="00AB6FC3"/>
    <w:rsid w:val="00AC7C58"/>
    <w:rsid w:val="00AD11F9"/>
    <w:rsid w:val="00AD189F"/>
    <w:rsid w:val="00AD1ACD"/>
    <w:rsid w:val="00AD608F"/>
    <w:rsid w:val="00AD7836"/>
    <w:rsid w:val="00AE1489"/>
    <w:rsid w:val="00AE2712"/>
    <w:rsid w:val="00AE32AC"/>
    <w:rsid w:val="00AE46D9"/>
    <w:rsid w:val="00AF5761"/>
    <w:rsid w:val="00AF773D"/>
    <w:rsid w:val="00B00AB3"/>
    <w:rsid w:val="00B04DAB"/>
    <w:rsid w:val="00B06A8D"/>
    <w:rsid w:val="00B072B2"/>
    <w:rsid w:val="00B11216"/>
    <w:rsid w:val="00B20138"/>
    <w:rsid w:val="00B222A2"/>
    <w:rsid w:val="00B31AF5"/>
    <w:rsid w:val="00B4598F"/>
    <w:rsid w:val="00B603FA"/>
    <w:rsid w:val="00B72194"/>
    <w:rsid w:val="00B74C83"/>
    <w:rsid w:val="00B777F6"/>
    <w:rsid w:val="00B812D6"/>
    <w:rsid w:val="00B85ADA"/>
    <w:rsid w:val="00B868AA"/>
    <w:rsid w:val="00B90453"/>
    <w:rsid w:val="00B90D35"/>
    <w:rsid w:val="00BA4A0B"/>
    <w:rsid w:val="00BB4311"/>
    <w:rsid w:val="00BB574B"/>
    <w:rsid w:val="00BB6BC9"/>
    <w:rsid w:val="00BC071D"/>
    <w:rsid w:val="00BC23D2"/>
    <w:rsid w:val="00BC2872"/>
    <w:rsid w:val="00BC3A68"/>
    <w:rsid w:val="00BC5991"/>
    <w:rsid w:val="00BD0E3E"/>
    <w:rsid w:val="00BD3651"/>
    <w:rsid w:val="00BE3BFA"/>
    <w:rsid w:val="00BE48CE"/>
    <w:rsid w:val="00BF0B5A"/>
    <w:rsid w:val="00BF2428"/>
    <w:rsid w:val="00BF3D4A"/>
    <w:rsid w:val="00C03206"/>
    <w:rsid w:val="00C077BF"/>
    <w:rsid w:val="00C108AB"/>
    <w:rsid w:val="00C16EF6"/>
    <w:rsid w:val="00C24D89"/>
    <w:rsid w:val="00C261AC"/>
    <w:rsid w:val="00C35688"/>
    <w:rsid w:val="00C42067"/>
    <w:rsid w:val="00C429B7"/>
    <w:rsid w:val="00C45A1E"/>
    <w:rsid w:val="00C473B5"/>
    <w:rsid w:val="00C47D77"/>
    <w:rsid w:val="00C51BC8"/>
    <w:rsid w:val="00C533D5"/>
    <w:rsid w:val="00C6194C"/>
    <w:rsid w:val="00C65357"/>
    <w:rsid w:val="00C735FB"/>
    <w:rsid w:val="00C77087"/>
    <w:rsid w:val="00C80A5B"/>
    <w:rsid w:val="00C8304F"/>
    <w:rsid w:val="00C908AA"/>
    <w:rsid w:val="00C9107D"/>
    <w:rsid w:val="00C925EE"/>
    <w:rsid w:val="00C93B69"/>
    <w:rsid w:val="00CA1DBE"/>
    <w:rsid w:val="00CA5492"/>
    <w:rsid w:val="00CA6EC9"/>
    <w:rsid w:val="00CA78B3"/>
    <w:rsid w:val="00CB45E9"/>
    <w:rsid w:val="00CC0F8B"/>
    <w:rsid w:val="00CC1400"/>
    <w:rsid w:val="00CC4059"/>
    <w:rsid w:val="00CE1094"/>
    <w:rsid w:val="00CE2BC5"/>
    <w:rsid w:val="00CE3F36"/>
    <w:rsid w:val="00CE4906"/>
    <w:rsid w:val="00CE62B6"/>
    <w:rsid w:val="00CF29D8"/>
    <w:rsid w:val="00CF44D4"/>
    <w:rsid w:val="00CF4842"/>
    <w:rsid w:val="00CF699C"/>
    <w:rsid w:val="00D059A9"/>
    <w:rsid w:val="00D103F7"/>
    <w:rsid w:val="00D24955"/>
    <w:rsid w:val="00D262F0"/>
    <w:rsid w:val="00D3557A"/>
    <w:rsid w:val="00D379FC"/>
    <w:rsid w:val="00D4235C"/>
    <w:rsid w:val="00D43550"/>
    <w:rsid w:val="00D44908"/>
    <w:rsid w:val="00D46240"/>
    <w:rsid w:val="00D50F22"/>
    <w:rsid w:val="00D55E7F"/>
    <w:rsid w:val="00D57E4B"/>
    <w:rsid w:val="00D60CE4"/>
    <w:rsid w:val="00D6237A"/>
    <w:rsid w:val="00D625CD"/>
    <w:rsid w:val="00D625FC"/>
    <w:rsid w:val="00D650EC"/>
    <w:rsid w:val="00D6699A"/>
    <w:rsid w:val="00D70B2A"/>
    <w:rsid w:val="00D84E43"/>
    <w:rsid w:val="00D9459D"/>
    <w:rsid w:val="00D95D2C"/>
    <w:rsid w:val="00DA3249"/>
    <w:rsid w:val="00DA6972"/>
    <w:rsid w:val="00DB4B44"/>
    <w:rsid w:val="00DB6324"/>
    <w:rsid w:val="00DC0207"/>
    <w:rsid w:val="00DC55EF"/>
    <w:rsid w:val="00DD79B7"/>
    <w:rsid w:val="00DE04A2"/>
    <w:rsid w:val="00DE478D"/>
    <w:rsid w:val="00DE66F1"/>
    <w:rsid w:val="00DE6CA5"/>
    <w:rsid w:val="00DF1C3C"/>
    <w:rsid w:val="00DF1D35"/>
    <w:rsid w:val="00DF1F1B"/>
    <w:rsid w:val="00DF2028"/>
    <w:rsid w:val="00E04DA9"/>
    <w:rsid w:val="00E0502B"/>
    <w:rsid w:val="00E10C7C"/>
    <w:rsid w:val="00E1428E"/>
    <w:rsid w:val="00E1440C"/>
    <w:rsid w:val="00E158D5"/>
    <w:rsid w:val="00E20E4F"/>
    <w:rsid w:val="00E20F3F"/>
    <w:rsid w:val="00E21D1C"/>
    <w:rsid w:val="00E2702F"/>
    <w:rsid w:val="00E310B3"/>
    <w:rsid w:val="00E33F21"/>
    <w:rsid w:val="00E44A2E"/>
    <w:rsid w:val="00E51A61"/>
    <w:rsid w:val="00E55C71"/>
    <w:rsid w:val="00E6071F"/>
    <w:rsid w:val="00E62185"/>
    <w:rsid w:val="00E63D58"/>
    <w:rsid w:val="00E65DC7"/>
    <w:rsid w:val="00E678DD"/>
    <w:rsid w:val="00E70D0A"/>
    <w:rsid w:val="00E93383"/>
    <w:rsid w:val="00E96DEF"/>
    <w:rsid w:val="00E97E3C"/>
    <w:rsid w:val="00EA305F"/>
    <w:rsid w:val="00EC1345"/>
    <w:rsid w:val="00EC3AF2"/>
    <w:rsid w:val="00EC3B20"/>
    <w:rsid w:val="00EC5AE2"/>
    <w:rsid w:val="00ED3D63"/>
    <w:rsid w:val="00ED5304"/>
    <w:rsid w:val="00EE4ECC"/>
    <w:rsid w:val="00EF17D7"/>
    <w:rsid w:val="00EF39F3"/>
    <w:rsid w:val="00EF4303"/>
    <w:rsid w:val="00EF57C3"/>
    <w:rsid w:val="00EF581C"/>
    <w:rsid w:val="00EF6C06"/>
    <w:rsid w:val="00F14741"/>
    <w:rsid w:val="00F14AF4"/>
    <w:rsid w:val="00F22F43"/>
    <w:rsid w:val="00F26554"/>
    <w:rsid w:val="00F273C2"/>
    <w:rsid w:val="00F30A0C"/>
    <w:rsid w:val="00F3175F"/>
    <w:rsid w:val="00F3487B"/>
    <w:rsid w:val="00F40F32"/>
    <w:rsid w:val="00F42A36"/>
    <w:rsid w:val="00F60F6C"/>
    <w:rsid w:val="00F665CB"/>
    <w:rsid w:val="00F77A30"/>
    <w:rsid w:val="00F83565"/>
    <w:rsid w:val="00F84EF2"/>
    <w:rsid w:val="00F867CD"/>
    <w:rsid w:val="00F87D78"/>
    <w:rsid w:val="00F91631"/>
    <w:rsid w:val="00F960F6"/>
    <w:rsid w:val="00FA00E5"/>
    <w:rsid w:val="00FB0FF0"/>
    <w:rsid w:val="00FC66CC"/>
    <w:rsid w:val="00FC6CDC"/>
    <w:rsid w:val="00FD25AB"/>
    <w:rsid w:val="00FD625B"/>
    <w:rsid w:val="00FD6E8E"/>
    <w:rsid w:val="00FD77AD"/>
    <w:rsid w:val="00FE2A78"/>
    <w:rsid w:val="00FE5A2A"/>
    <w:rsid w:val="00FF00CC"/>
    <w:rsid w:val="00FF145D"/>
    <w:rsid w:val="00FF3799"/>
    <w:rsid w:val="011B2034"/>
    <w:rsid w:val="015D27ED"/>
    <w:rsid w:val="01CB0A68"/>
    <w:rsid w:val="02A9530D"/>
    <w:rsid w:val="02B504F0"/>
    <w:rsid w:val="03090D52"/>
    <w:rsid w:val="036E01D1"/>
    <w:rsid w:val="03966CB0"/>
    <w:rsid w:val="03EC4EC0"/>
    <w:rsid w:val="03FB17CE"/>
    <w:rsid w:val="040231CA"/>
    <w:rsid w:val="04525D18"/>
    <w:rsid w:val="04A06264"/>
    <w:rsid w:val="04C878DF"/>
    <w:rsid w:val="04F2229D"/>
    <w:rsid w:val="05220A6D"/>
    <w:rsid w:val="05257147"/>
    <w:rsid w:val="055102E3"/>
    <w:rsid w:val="057C013D"/>
    <w:rsid w:val="05F753DF"/>
    <w:rsid w:val="063B285C"/>
    <w:rsid w:val="06655ACF"/>
    <w:rsid w:val="06C02115"/>
    <w:rsid w:val="06DD0D03"/>
    <w:rsid w:val="070627CF"/>
    <w:rsid w:val="075539B3"/>
    <w:rsid w:val="07DE75C7"/>
    <w:rsid w:val="08104660"/>
    <w:rsid w:val="08282E7E"/>
    <w:rsid w:val="08A6379D"/>
    <w:rsid w:val="08C8268B"/>
    <w:rsid w:val="09025D38"/>
    <w:rsid w:val="091F056B"/>
    <w:rsid w:val="094177F3"/>
    <w:rsid w:val="09F027B0"/>
    <w:rsid w:val="0A255E94"/>
    <w:rsid w:val="0A9B6200"/>
    <w:rsid w:val="0AA411C6"/>
    <w:rsid w:val="0AAA228E"/>
    <w:rsid w:val="0B320689"/>
    <w:rsid w:val="0B8C3F15"/>
    <w:rsid w:val="0C076CEB"/>
    <w:rsid w:val="0C1D4DBD"/>
    <w:rsid w:val="0C6E4086"/>
    <w:rsid w:val="0C70451D"/>
    <w:rsid w:val="0CA21AB6"/>
    <w:rsid w:val="0CD061B9"/>
    <w:rsid w:val="0D3B0C0C"/>
    <w:rsid w:val="0DA5764E"/>
    <w:rsid w:val="0DAF0E0E"/>
    <w:rsid w:val="0DB869A7"/>
    <w:rsid w:val="0DBC6100"/>
    <w:rsid w:val="0E8A5CA0"/>
    <w:rsid w:val="0E8D2E6D"/>
    <w:rsid w:val="0E906E3F"/>
    <w:rsid w:val="0EA84CE0"/>
    <w:rsid w:val="0EC84467"/>
    <w:rsid w:val="0ECD17B5"/>
    <w:rsid w:val="10110F0F"/>
    <w:rsid w:val="10111E7B"/>
    <w:rsid w:val="10760D0E"/>
    <w:rsid w:val="10D83F9D"/>
    <w:rsid w:val="117763D9"/>
    <w:rsid w:val="11792D22"/>
    <w:rsid w:val="11D10A29"/>
    <w:rsid w:val="11FE4BC3"/>
    <w:rsid w:val="122237BE"/>
    <w:rsid w:val="122A059B"/>
    <w:rsid w:val="12327BF7"/>
    <w:rsid w:val="12370739"/>
    <w:rsid w:val="12947F1B"/>
    <w:rsid w:val="13AC063F"/>
    <w:rsid w:val="13B04523"/>
    <w:rsid w:val="145022C4"/>
    <w:rsid w:val="148A49CF"/>
    <w:rsid w:val="154340F3"/>
    <w:rsid w:val="158439BA"/>
    <w:rsid w:val="163E3F3C"/>
    <w:rsid w:val="16A917FD"/>
    <w:rsid w:val="16B024EA"/>
    <w:rsid w:val="17056C2C"/>
    <w:rsid w:val="175536DB"/>
    <w:rsid w:val="18435E8C"/>
    <w:rsid w:val="192759BC"/>
    <w:rsid w:val="192D0439"/>
    <w:rsid w:val="195A44B2"/>
    <w:rsid w:val="19E20421"/>
    <w:rsid w:val="1ACF1B5A"/>
    <w:rsid w:val="1ADD278B"/>
    <w:rsid w:val="1CB2478D"/>
    <w:rsid w:val="1CFF5CAA"/>
    <w:rsid w:val="1D0E6D8B"/>
    <w:rsid w:val="1D29540E"/>
    <w:rsid w:val="1D5507AB"/>
    <w:rsid w:val="1DCB533A"/>
    <w:rsid w:val="1DFD20DC"/>
    <w:rsid w:val="1E0C0D2C"/>
    <w:rsid w:val="1E0C427E"/>
    <w:rsid w:val="1F745FEB"/>
    <w:rsid w:val="1F7E5EAC"/>
    <w:rsid w:val="1F904ED9"/>
    <w:rsid w:val="1FB067C3"/>
    <w:rsid w:val="1FBC207B"/>
    <w:rsid w:val="1FE34C5B"/>
    <w:rsid w:val="20631CC6"/>
    <w:rsid w:val="209D2D04"/>
    <w:rsid w:val="21352A05"/>
    <w:rsid w:val="21554A60"/>
    <w:rsid w:val="21E26F4D"/>
    <w:rsid w:val="21EE7C3C"/>
    <w:rsid w:val="222C21FA"/>
    <w:rsid w:val="22335DAB"/>
    <w:rsid w:val="223D37CD"/>
    <w:rsid w:val="22C85FCC"/>
    <w:rsid w:val="235F5402"/>
    <w:rsid w:val="23A77259"/>
    <w:rsid w:val="23B31760"/>
    <w:rsid w:val="23C022E6"/>
    <w:rsid w:val="24353D32"/>
    <w:rsid w:val="24682021"/>
    <w:rsid w:val="25261B9D"/>
    <w:rsid w:val="25645C38"/>
    <w:rsid w:val="25685E0C"/>
    <w:rsid w:val="256B5D36"/>
    <w:rsid w:val="262A5104"/>
    <w:rsid w:val="26887043"/>
    <w:rsid w:val="26AE6E0B"/>
    <w:rsid w:val="26BB2CC6"/>
    <w:rsid w:val="26BD683B"/>
    <w:rsid w:val="27C57964"/>
    <w:rsid w:val="281447E1"/>
    <w:rsid w:val="28636321"/>
    <w:rsid w:val="28BC1741"/>
    <w:rsid w:val="28EB7539"/>
    <w:rsid w:val="290D0617"/>
    <w:rsid w:val="290F1F94"/>
    <w:rsid w:val="293720E9"/>
    <w:rsid w:val="298E7A8A"/>
    <w:rsid w:val="29BC55B6"/>
    <w:rsid w:val="29FC1D7D"/>
    <w:rsid w:val="2A2C179B"/>
    <w:rsid w:val="2A4318BD"/>
    <w:rsid w:val="2B383800"/>
    <w:rsid w:val="2B6F4621"/>
    <w:rsid w:val="2C186673"/>
    <w:rsid w:val="2C6D4788"/>
    <w:rsid w:val="2CA018D0"/>
    <w:rsid w:val="2CAB39C2"/>
    <w:rsid w:val="2D2D6BBF"/>
    <w:rsid w:val="2D4C521B"/>
    <w:rsid w:val="2E227A48"/>
    <w:rsid w:val="2EF17AA0"/>
    <w:rsid w:val="2F033394"/>
    <w:rsid w:val="2F05487F"/>
    <w:rsid w:val="2F18448C"/>
    <w:rsid w:val="2F566606"/>
    <w:rsid w:val="2FD4276E"/>
    <w:rsid w:val="30440E12"/>
    <w:rsid w:val="30DF329B"/>
    <w:rsid w:val="311B1676"/>
    <w:rsid w:val="313B7EF6"/>
    <w:rsid w:val="315733F0"/>
    <w:rsid w:val="31CA129C"/>
    <w:rsid w:val="31EE2C5D"/>
    <w:rsid w:val="321E3CBF"/>
    <w:rsid w:val="326528CD"/>
    <w:rsid w:val="32D1055D"/>
    <w:rsid w:val="32E14A30"/>
    <w:rsid w:val="33150E59"/>
    <w:rsid w:val="331B795A"/>
    <w:rsid w:val="332069DF"/>
    <w:rsid w:val="332A56DB"/>
    <w:rsid w:val="33A35F48"/>
    <w:rsid w:val="343C7E7E"/>
    <w:rsid w:val="349763DE"/>
    <w:rsid w:val="35735E93"/>
    <w:rsid w:val="357B691D"/>
    <w:rsid w:val="358856F0"/>
    <w:rsid w:val="377F2256"/>
    <w:rsid w:val="37A10C5D"/>
    <w:rsid w:val="37EA445F"/>
    <w:rsid w:val="37EE3CC3"/>
    <w:rsid w:val="388F20A8"/>
    <w:rsid w:val="3917220E"/>
    <w:rsid w:val="39952377"/>
    <w:rsid w:val="3A9030C9"/>
    <w:rsid w:val="3A933FEE"/>
    <w:rsid w:val="3ACB3072"/>
    <w:rsid w:val="3ACB49FC"/>
    <w:rsid w:val="3AF95CF0"/>
    <w:rsid w:val="3BB26668"/>
    <w:rsid w:val="3BF25884"/>
    <w:rsid w:val="3C143538"/>
    <w:rsid w:val="3C683D03"/>
    <w:rsid w:val="3D3117D1"/>
    <w:rsid w:val="3D43590F"/>
    <w:rsid w:val="3D6D1B52"/>
    <w:rsid w:val="3D7F638F"/>
    <w:rsid w:val="3DAE7080"/>
    <w:rsid w:val="3DBE1710"/>
    <w:rsid w:val="3DC836A4"/>
    <w:rsid w:val="3DDC7D08"/>
    <w:rsid w:val="3DDE0956"/>
    <w:rsid w:val="3DF81DFB"/>
    <w:rsid w:val="3F8541E2"/>
    <w:rsid w:val="4073743D"/>
    <w:rsid w:val="407C2C83"/>
    <w:rsid w:val="40B06FA7"/>
    <w:rsid w:val="41373BF1"/>
    <w:rsid w:val="414C4C40"/>
    <w:rsid w:val="41663691"/>
    <w:rsid w:val="42870BE8"/>
    <w:rsid w:val="429664C3"/>
    <w:rsid w:val="42C64E68"/>
    <w:rsid w:val="431325EF"/>
    <w:rsid w:val="44003D1E"/>
    <w:rsid w:val="44123662"/>
    <w:rsid w:val="441D6688"/>
    <w:rsid w:val="449855CF"/>
    <w:rsid w:val="44CA436F"/>
    <w:rsid w:val="44D40C6B"/>
    <w:rsid w:val="45050AF4"/>
    <w:rsid w:val="451E69A9"/>
    <w:rsid w:val="45294C39"/>
    <w:rsid w:val="45C3443E"/>
    <w:rsid w:val="45E96527"/>
    <w:rsid w:val="45FB663C"/>
    <w:rsid w:val="46557EE7"/>
    <w:rsid w:val="46AB462D"/>
    <w:rsid w:val="46B34A2A"/>
    <w:rsid w:val="47410C8B"/>
    <w:rsid w:val="47531D5D"/>
    <w:rsid w:val="48D71CA7"/>
    <w:rsid w:val="49C8643C"/>
    <w:rsid w:val="49F162B2"/>
    <w:rsid w:val="4A0E24A0"/>
    <w:rsid w:val="4A8E32C0"/>
    <w:rsid w:val="4AD54729"/>
    <w:rsid w:val="4B155B48"/>
    <w:rsid w:val="4BBA627D"/>
    <w:rsid w:val="4C2203AC"/>
    <w:rsid w:val="4C992DCE"/>
    <w:rsid w:val="4CBF560C"/>
    <w:rsid w:val="4D31304E"/>
    <w:rsid w:val="4D831388"/>
    <w:rsid w:val="4DD755ED"/>
    <w:rsid w:val="4E371071"/>
    <w:rsid w:val="4E7E5066"/>
    <w:rsid w:val="4EAC0C0C"/>
    <w:rsid w:val="4EE678F1"/>
    <w:rsid w:val="4F4C65AA"/>
    <w:rsid w:val="4F535A2C"/>
    <w:rsid w:val="4F8F2BCF"/>
    <w:rsid w:val="4FC54B5F"/>
    <w:rsid w:val="500D6447"/>
    <w:rsid w:val="50644E04"/>
    <w:rsid w:val="50AA3FCB"/>
    <w:rsid w:val="50E26083"/>
    <w:rsid w:val="511D3C37"/>
    <w:rsid w:val="51502E1C"/>
    <w:rsid w:val="517A5ACB"/>
    <w:rsid w:val="518A654A"/>
    <w:rsid w:val="51CE3D50"/>
    <w:rsid w:val="51D74772"/>
    <w:rsid w:val="51E02EBE"/>
    <w:rsid w:val="522F0C18"/>
    <w:rsid w:val="533C1A04"/>
    <w:rsid w:val="53651C9B"/>
    <w:rsid w:val="5368695D"/>
    <w:rsid w:val="53B00464"/>
    <w:rsid w:val="542E5D0A"/>
    <w:rsid w:val="54870D96"/>
    <w:rsid w:val="54E47A07"/>
    <w:rsid w:val="54F96145"/>
    <w:rsid w:val="552217A5"/>
    <w:rsid w:val="553B52CB"/>
    <w:rsid w:val="55C80B09"/>
    <w:rsid w:val="56770A42"/>
    <w:rsid w:val="56952CE3"/>
    <w:rsid w:val="56CB4771"/>
    <w:rsid w:val="56EC03CC"/>
    <w:rsid w:val="57906C0D"/>
    <w:rsid w:val="579E6B52"/>
    <w:rsid w:val="57E25391"/>
    <w:rsid w:val="5972690E"/>
    <w:rsid w:val="59977C55"/>
    <w:rsid w:val="59AC7FD5"/>
    <w:rsid w:val="59B40498"/>
    <w:rsid w:val="59EE6DE2"/>
    <w:rsid w:val="5AB46297"/>
    <w:rsid w:val="5B145095"/>
    <w:rsid w:val="5B580643"/>
    <w:rsid w:val="5BC519A7"/>
    <w:rsid w:val="5BC9699E"/>
    <w:rsid w:val="5C6C5017"/>
    <w:rsid w:val="5C740B7C"/>
    <w:rsid w:val="5CE635E7"/>
    <w:rsid w:val="5CEF59C6"/>
    <w:rsid w:val="5D14660E"/>
    <w:rsid w:val="5DBB0936"/>
    <w:rsid w:val="5DE231F3"/>
    <w:rsid w:val="5E3D72B3"/>
    <w:rsid w:val="5ECF6D83"/>
    <w:rsid w:val="5EFC0565"/>
    <w:rsid w:val="5EFE4143"/>
    <w:rsid w:val="5F9600F6"/>
    <w:rsid w:val="5FDC5DC5"/>
    <w:rsid w:val="5FE06E9B"/>
    <w:rsid w:val="5FF9445A"/>
    <w:rsid w:val="60B12927"/>
    <w:rsid w:val="6107382D"/>
    <w:rsid w:val="613C721F"/>
    <w:rsid w:val="61A21F19"/>
    <w:rsid w:val="61C60991"/>
    <w:rsid w:val="61D42ACD"/>
    <w:rsid w:val="62006D6B"/>
    <w:rsid w:val="62420DC0"/>
    <w:rsid w:val="62901121"/>
    <w:rsid w:val="62B775B3"/>
    <w:rsid w:val="634412A8"/>
    <w:rsid w:val="63A03734"/>
    <w:rsid w:val="63C54109"/>
    <w:rsid w:val="63F925FF"/>
    <w:rsid w:val="642C4898"/>
    <w:rsid w:val="64D03E6B"/>
    <w:rsid w:val="65697B5D"/>
    <w:rsid w:val="65715E6A"/>
    <w:rsid w:val="659F016A"/>
    <w:rsid w:val="660016CE"/>
    <w:rsid w:val="66DA0AF7"/>
    <w:rsid w:val="66E52B1E"/>
    <w:rsid w:val="672E5028"/>
    <w:rsid w:val="678E3DCE"/>
    <w:rsid w:val="67CF2E29"/>
    <w:rsid w:val="68B85E13"/>
    <w:rsid w:val="68CF7A47"/>
    <w:rsid w:val="691A593F"/>
    <w:rsid w:val="699E0A29"/>
    <w:rsid w:val="6A0A49C2"/>
    <w:rsid w:val="6A70611F"/>
    <w:rsid w:val="6ACD24F0"/>
    <w:rsid w:val="6BDF5B24"/>
    <w:rsid w:val="6C9905DA"/>
    <w:rsid w:val="6CA66A1C"/>
    <w:rsid w:val="6CF037BA"/>
    <w:rsid w:val="6D017EA1"/>
    <w:rsid w:val="6D3A7B2D"/>
    <w:rsid w:val="6D404022"/>
    <w:rsid w:val="6D7B053B"/>
    <w:rsid w:val="6D89685F"/>
    <w:rsid w:val="6DA03836"/>
    <w:rsid w:val="6DD2684C"/>
    <w:rsid w:val="6DF15978"/>
    <w:rsid w:val="6E280CD5"/>
    <w:rsid w:val="6E4C5376"/>
    <w:rsid w:val="6E8122A2"/>
    <w:rsid w:val="6E815BC0"/>
    <w:rsid w:val="6E907ADE"/>
    <w:rsid w:val="6EDC027F"/>
    <w:rsid w:val="70043820"/>
    <w:rsid w:val="704F78B8"/>
    <w:rsid w:val="70792A8E"/>
    <w:rsid w:val="7082415B"/>
    <w:rsid w:val="70BE3782"/>
    <w:rsid w:val="70BF6E84"/>
    <w:rsid w:val="70D76ADB"/>
    <w:rsid w:val="71737F7A"/>
    <w:rsid w:val="721511AB"/>
    <w:rsid w:val="72281C30"/>
    <w:rsid w:val="72670A24"/>
    <w:rsid w:val="72695FD9"/>
    <w:rsid w:val="729F6185"/>
    <w:rsid w:val="735A6193"/>
    <w:rsid w:val="73E019E2"/>
    <w:rsid w:val="74223A0A"/>
    <w:rsid w:val="74E21053"/>
    <w:rsid w:val="755E7EBC"/>
    <w:rsid w:val="756A17C6"/>
    <w:rsid w:val="75D43A11"/>
    <w:rsid w:val="75F02B20"/>
    <w:rsid w:val="766F52AB"/>
    <w:rsid w:val="76CE772B"/>
    <w:rsid w:val="770C1455"/>
    <w:rsid w:val="774B4AF0"/>
    <w:rsid w:val="778046CF"/>
    <w:rsid w:val="77E96706"/>
    <w:rsid w:val="796545C6"/>
    <w:rsid w:val="79833E44"/>
    <w:rsid w:val="79A22C1B"/>
    <w:rsid w:val="79D070CD"/>
    <w:rsid w:val="7A7941A2"/>
    <w:rsid w:val="7B8C650A"/>
    <w:rsid w:val="7B993BE4"/>
    <w:rsid w:val="7BA33373"/>
    <w:rsid w:val="7C4D7758"/>
    <w:rsid w:val="7C7A6EE2"/>
    <w:rsid w:val="7C9152A7"/>
    <w:rsid w:val="7D0F77F8"/>
    <w:rsid w:val="7D4449AD"/>
    <w:rsid w:val="7DAE7C6D"/>
    <w:rsid w:val="7E11270A"/>
    <w:rsid w:val="7E15060D"/>
    <w:rsid w:val="7E3408C2"/>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87A6E"/>
  <w15:docId w15:val="{E40D855D-F856-4899-9DFC-35A85578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semiHidden/>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qFormat/>
    <w:pPr>
      <w:spacing w:after="120"/>
      <w:jc w:val="both"/>
    </w:pPr>
    <w:rPr>
      <w:rFonts w:eastAsia="MS Mincho"/>
    </w:rPr>
  </w:style>
  <w:style w:type="paragraph" w:styleId="a7">
    <w:name w:val="Balloon Text"/>
    <w:basedOn w:val="a"/>
    <w:link w:val="a8"/>
    <w:qFormat/>
    <w:pPr>
      <w:spacing w:after="0" w:line="240" w:lineRule="auto"/>
    </w:pPr>
    <w:rPr>
      <w:sz w:val="18"/>
      <w:szCs w:val="18"/>
    </w:rPr>
  </w:style>
  <w:style w:type="paragraph" w:styleId="a9">
    <w:name w:val="footer"/>
    <w:basedOn w:val="a"/>
    <w:link w:val="aa"/>
    <w:qFormat/>
    <w:pPr>
      <w:tabs>
        <w:tab w:val="center" w:pos="4153"/>
        <w:tab w:val="right" w:pos="8306"/>
      </w:tabs>
      <w:snapToGrid w:val="0"/>
      <w:spacing w:line="240" w:lineRule="auto"/>
    </w:pPr>
    <w:rPr>
      <w:sz w:val="18"/>
      <w:szCs w:val="18"/>
    </w:rPr>
  </w:style>
  <w:style w:type="paragraph" w:styleId="ab">
    <w:name w:val="header"/>
    <w:basedOn w:val="a"/>
    <w:link w:val="ac"/>
    <w:qFormat/>
    <w:pPr>
      <w:pBdr>
        <w:bottom w:val="single" w:sz="6" w:space="1" w:color="auto"/>
      </w:pBdr>
      <w:tabs>
        <w:tab w:val="center" w:pos="4153"/>
        <w:tab w:val="right" w:pos="8306"/>
      </w:tabs>
      <w:snapToGrid w:val="0"/>
      <w:spacing w:line="240" w:lineRule="auto"/>
      <w:jc w:val="center"/>
    </w:pPr>
    <w:rPr>
      <w:sz w:val="18"/>
      <w:szCs w:val="18"/>
    </w:rPr>
  </w:style>
  <w:style w:type="paragraph" w:styleId="ad">
    <w:name w:val="List"/>
    <w:basedOn w:val="a"/>
    <w:qFormat/>
    <w:pPr>
      <w:ind w:left="568" w:hanging="284"/>
    </w:pPr>
  </w:style>
  <w:style w:type="paragraph" w:styleId="ae">
    <w:name w:val="Normal (Web)"/>
    <w:basedOn w:val="a"/>
    <w:qFormat/>
    <w:pPr>
      <w:spacing w:beforeAutospacing="1" w:after="0" w:afterAutospacing="1"/>
    </w:pPr>
    <w:rPr>
      <w:rFonts w:cs="Times New Roman"/>
      <w:sz w:val="24"/>
    </w:rPr>
  </w:style>
  <w:style w:type="paragraph" w:styleId="af">
    <w:name w:val="annotation subject"/>
    <w:basedOn w:val="a4"/>
    <w:next w:val="a4"/>
    <w:link w:val="af0"/>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unhideWhenUsed/>
    <w:qFormat/>
    <w:rPr>
      <w:rFonts w:ascii="Arial" w:eastAsia="宋体" w:hAnsi="Arial" w:hint="default"/>
      <w:color w:val="0000FF"/>
      <w:kern w:val="2"/>
      <w:sz w:val="24"/>
      <w:lang w:val="en-US" w:eastAsia="zh-CN"/>
    </w:rPr>
  </w:style>
  <w:style w:type="character" w:styleId="af3">
    <w:name w:val="Emphasis"/>
    <w:basedOn w:val="a0"/>
    <w:qFormat/>
    <w:rPr>
      <w:i/>
    </w:rPr>
  </w:style>
  <w:style w:type="character" w:styleId="af4">
    <w:name w:val="annotation reference"/>
    <w:basedOn w:val="a0"/>
    <w:qFormat/>
    <w:rPr>
      <w:sz w:val="21"/>
      <w:szCs w:val="21"/>
    </w:rPr>
  </w:style>
  <w:style w:type="character" w:customStyle="1" w:styleId="a8">
    <w:name w:val="批注框文本 字符"/>
    <w:basedOn w:val="a0"/>
    <w:link w:val="a7"/>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5">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0">
    <w:name w:val="批注主题 字符"/>
    <w:basedOn w:val="a5"/>
    <w:link w:val="af"/>
    <w:qFormat/>
    <w:rPr>
      <w:b/>
      <w:bCs/>
      <w:sz w:val="22"/>
      <w:szCs w:val="22"/>
    </w:rPr>
  </w:style>
  <w:style w:type="character" w:customStyle="1" w:styleId="ac">
    <w:name w:val="页眉 字符"/>
    <w:basedOn w:val="a0"/>
    <w:link w:val="ab"/>
    <w:qFormat/>
    <w:rPr>
      <w:sz w:val="18"/>
      <w:szCs w:val="18"/>
    </w:rPr>
  </w:style>
  <w:style w:type="character" w:customStyle="1" w:styleId="aa">
    <w:name w:val="页脚 字符"/>
    <w:basedOn w:val="a0"/>
    <w:link w:val="a9"/>
    <w:qFormat/>
    <w:rPr>
      <w:sz w:val="18"/>
      <w:szCs w:val="18"/>
    </w:rPr>
  </w:style>
  <w:style w:type="paragraph" w:customStyle="1" w:styleId="B1">
    <w:name w:val="B1"/>
    <w:basedOn w:val="ad"/>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BC26B6-AC54-46D9-A74D-E757292E0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2605</Words>
  <Characters>14852</Characters>
  <Application>Microsoft Office Word</Application>
  <DocSecurity>0</DocSecurity>
  <Lines>123</Lines>
  <Paragraphs>34</Paragraphs>
  <ScaleCrop>false</ScaleCrop>
  <Company/>
  <LinksUpToDate>false</LinksUpToDate>
  <CharactersWithSpaces>17423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cp:lastModifiedBy>
  <cp:revision>3</cp:revision>
  <dcterms:created xsi:type="dcterms:W3CDTF">2023-05-14T03:37:00Z</dcterms:created>
  <dcterms:modified xsi:type="dcterms:W3CDTF">2023-05-15T05:53:00Z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